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Collie Coal (Griffin) Agreement Act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Collie Coal (Griffin) Agreement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_Toc138748410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_Toc138748411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_Toc138748412 \h </w:instrText>
      </w:r>
      <w:r>
        <w:fldChar w:fldCharType="separate"/>
      </w:r>
      <w:r>
        <w:t>1</w:t>
      </w:r>
      <w:r>
        <w:fldChar w:fldCharType="end"/>
      </w:r>
    </w:p>
    <w:p>
      <w:pPr>
        <w:pStyle w:val="TOC8"/>
        <w:rPr>
          <w:rFonts w:asciiTheme="minorHAnsi" w:eastAsiaTheme="minorEastAsia" w:hAnsiTheme="minorHAnsi" w:cstheme="minorBidi"/>
          <w:szCs w:val="22"/>
        </w:rPr>
      </w:pPr>
      <w:r>
        <w:t>4.</w:t>
      </w:r>
      <w:r>
        <w:tab/>
        <w:t>Ratification of 2023 variation agreement</w:t>
      </w:r>
      <w:r>
        <w:tab/>
      </w:r>
      <w:r>
        <w:fldChar w:fldCharType="begin"/>
      </w:r>
      <w:r>
        <w:instrText xml:space="preserve"> PAGEREF _Toc138748413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Collie Coal (Griffin) Agreement</w:t>
      </w:r>
    </w:p>
    <w:p>
      <w:pPr>
        <w:pStyle w:val="TOC2"/>
        <w:tabs>
          <w:tab w:val="right" w:leader="dot" w:pos="7077"/>
        </w:tabs>
        <w:rPr>
          <w:rFonts w:asciiTheme="minorHAnsi" w:eastAsiaTheme="minorEastAsia" w:hAnsiTheme="minorHAnsi" w:cstheme="minorBidi"/>
          <w:b w:val="0"/>
          <w:noProof/>
          <w:sz w:val="22"/>
          <w:szCs w:val="22"/>
        </w:rPr>
      </w:pPr>
      <w:r>
        <w:rPr>
          <w:noProof/>
        </w:rPr>
        <w:t>Schedule 2 — 2023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_Toc138748417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_Toc138748418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 xml:space="preserve">An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3" w:name="_Toc13874841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pPr>
      <w:bookmarkStart w:id="4" w:name="_Toc138685113"/>
      <w:bookmarkStart w:id="5" w:name="_Toc138748411"/>
      <w:r>
        <w:rPr>
          <w:rStyle w:val="CharSectno"/>
        </w:rPr>
        <w:t>2</w:t>
      </w:r>
      <w:r>
        <w:t>.</w:t>
      </w:r>
      <w:r>
        <w:tab/>
        <w:t>Terms used</w:t>
      </w:r>
      <w:bookmarkEnd w:id="4"/>
      <w:bookmarkEnd w:id="5"/>
    </w:p>
    <w:p>
      <w:pPr>
        <w:pStyle w:val="Subsection"/>
      </w:pPr>
      <w:r>
        <w:tab/>
      </w:r>
      <w:r>
        <w:tab/>
        <w:t xml:space="preserve">In this Act — </w:t>
      </w:r>
    </w:p>
    <w:p>
      <w:pPr>
        <w:pStyle w:val="Defstart"/>
      </w:pPr>
      <w:r>
        <w:tab/>
      </w:r>
      <w:r>
        <w:rPr>
          <w:rStyle w:val="CharDefText"/>
        </w:rPr>
        <w:t>2023 variation agreement</w:t>
      </w:r>
      <w:r>
        <w:t xml:space="preserve"> means the agreement a copy of which is set out in Schedule 2;</w:t>
      </w:r>
    </w:p>
    <w:p>
      <w:pPr>
        <w:pStyle w:val="Defstart"/>
      </w:pPr>
      <w:r>
        <w:tab/>
      </w:r>
      <w:r>
        <w:rPr>
          <w:rStyle w:val="CharDefText"/>
        </w:rPr>
        <w:t>Agreement</w:t>
      </w:r>
      <w:r>
        <w:t xml:space="preserve"> means the agreement a copy of which is set out in Schedule 1 and includes that agreement — </w:t>
      </w:r>
    </w:p>
    <w:p>
      <w:pPr>
        <w:pStyle w:val="Defpara"/>
      </w:pPr>
      <w:r>
        <w:tab/>
        <w:t>(a)</w:t>
      </w:r>
      <w:r>
        <w:tab/>
        <w:t>as varied from time to time in accordance with its provisions; and</w:t>
      </w:r>
    </w:p>
    <w:p>
      <w:pPr>
        <w:pStyle w:val="Defpara"/>
      </w:pPr>
      <w:r>
        <w:tab/>
        <w:t>(b)</w:t>
      </w:r>
      <w:r>
        <w:tab/>
        <w:t>as varied by the 2023 variation agreement.</w:t>
      </w:r>
    </w:p>
    <w:p>
      <w:pPr>
        <w:pStyle w:val="Footnotesection"/>
      </w:pPr>
      <w:r>
        <w:tab/>
        <w:t>[Section 2 inserted: No. 14 of 2023 s. 4]</w:t>
      </w:r>
    </w:p>
    <w:p>
      <w:pPr>
        <w:pStyle w:val="Heading5"/>
        <w:rPr>
          <w:snapToGrid w:val="0"/>
        </w:rPr>
      </w:pPr>
      <w:bookmarkStart w:id="6" w:name="_Toc138748412"/>
      <w:r>
        <w:rPr>
          <w:rStyle w:val="CharSectno"/>
        </w:rPr>
        <w:t>3</w:t>
      </w:r>
      <w:r>
        <w:rPr>
          <w:snapToGrid w:val="0"/>
        </w:rPr>
        <w:t>.</w:t>
      </w:r>
      <w:r>
        <w:rPr>
          <w:snapToGrid w:val="0"/>
        </w:rPr>
        <w:tab/>
        <w:t>Ratification of the Agreement</w:t>
      </w:r>
      <w:bookmarkEnd w:id="6"/>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pPr>
      <w:bookmarkStart w:id="7" w:name="_Toc138685115"/>
      <w:bookmarkStart w:id="8" w:name="_Toc138748413"/>
      <w:r>
        <w:rPr>
          <w:rStyle w:val="CharSectno"/>
        </w:rPr>
        <w:lastRenderedPageBreak/>
        <w:t>4</w:t>
      </w:r>
      <w:r>
        <w:t>.</w:t>
      </w:r>
      <w:r>
        <w:tab/>
        <w:t>Ratification of 2023 variation agreement</w:t>
      </w:r>
      <w:bookmarkEnd w:id="7"/>
      <w:bookmarkEnd w:id="8"/>
    </w:p>
    <w:p>
      <w:pPr>
        <w:pStyle w:val="Subsection"/>
      </w:pPr>
      <w:r>
        <w:tab/>
        <w:t>(1)</w:t>
      </w:r>
      <w:r>
        <w:tab/>
        <w:t>The 2023 variation agreement is ratified.</w:t>
      </w:r>
    </w:p>
    <w:p>
      <w:pPr>
        <w:pStyle w:val="Subsection"/>
      </w:pPr>
      <w:r>
        <w:tab/>
        <w:t>(2)</w:t>
      </w:r>
      <w:r>
        <w:tab/>
        <w:t>The implementation of the 2023 variation agreement is authorised.</w:t>
      </w:r>
    </w:p>
    <w:p>
      <w:pPr>
        <w:pStyle w:val="Subsection"/>
      </w:pPr>
      <w:r>
        <w:tab/>
        <w:t>(3)</w:t>
      </w:r>
      <w:r>
        <w:tab/>
        <w:t xml:space="preserve">Without limiting or otherwise affecting the </w:t>
      </w:r>
      <w:r>
        <w:rPr>
          <w:i/>
        </w:rPr>
        <w:t>Government Agreements Act 1979</w:t>
      </w:r>
      <w:r>
        <w:t>, the 2023 variation agreement operates and takes effect despite any enactment or other law.</w:t>
      </w:r>
    </w:p>
    <w:p>
      <w:pPr>
        <w:pStyle w:val="Footnotesection"/>
      </w:pPr>
      <w:r>
        <w:tab/>
        <w:t>[Section 4 inserted: No. 14 of 2023 s. 5]</w:t>
      </w:r>
    </w:p>
    <w:p>
      <w:pPr>
        <w:pStyle w:val="Subsection"/>
        <w:rPr>
          <w:snapToGrid w:val="0"/>
        </w:rPr>
      </w:pP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9" w:name="_Toc138684840"/>
      <w:bookmarkStart w:id="10" w:name="_Toc138684877"/>
      <w:bookmarkStart w:id="11" w:name="_Toc138684962"/>
      <w:bookmarkStart w:id="12" w:name="_Toc138685117"/>
      <w:bookmarkStart w:id="13" w:name="_Toc138689464"/>
      <w:bookmarkStart w:id="14" w:name="_Toc138690389"/>
      <w:bookmarkStart w:id="15" w:name="_Toc138748414"/>
      <w:r>
        <w:rPr>
          <w:rStyle w:val="CharSchNo"/>
        </w:rPr>
        <w:lastRenderedPageBreak/>
        <w:t>Schedule 1</w:t>
      </w:r>
      <w:r>
        <w:t> — </w:t>
      </w:r>
      <w:r>
        <w:rPr>
          <w:rStyle w:val="CharSchText"/>
        </w:rPr>
        <w:t>Collie Coal (Griffin) Agreement</w:t>
      </w:r>
      <w:bookmarkEnd w:id="9"/>
      <w:bookmarkEnd w:id="10"/>
      <w:bookmarkEnd w:id="11"/>
      <w:bookmarkEnd w:id="12"/>
      <w:bookmarkEnd w:id="13"/>
      <w:bookmarkEnd w:id="14"/>
      <w:bookmarkEnd w:id="15"/>
    </w:p>
    <w:p>
      <w:pPr>
        <w:pStyle w:val="yShoulderClause"/>
        <w:rPr>
          <w:snapToGrid w:val="0"/>
        </w:rPr>
      </w:pPr>
      <w:r>
        <w:t>[s. 2]</w:t>
      </w:r>
    </w:p>
    <w:p>
      <w:pPr>
        <w:pStyle w:val="yFootnoteheading"/>
      </w:pPr>
      <w:r>
        <w:tab/>
        <w:t>[Heading inserted: No. 14 of 2023 s. 6.]</w:t>
      </w:r>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r>
        <w:rPr>
          <w:b/>
          <w:vertAlign w:val="superscript"/>
        </w:rPr>
        <w:t>1</w:t>
      </w:r>
    </w:p>
    <w:p>
      <w:pPr>
        <w:pStyle w:val="yMiscellaneousBody"/>
        <w:tabs>
          <w:tab w:val="left" w:pos="567"/>
        </w:tabs>
      </w:pPr>
      <w:r>
        <w:t>1.</w:t>
      </w:r>
      <w:r>
        <w:tab/>
        <w:t>In this Agreement subject to the context — </w:t>
      </w:r>
    </w:p>
    <w:p>
      <w:pPr>
        <w:pStyle w:val="yMiscellaneousBody"/>
        <w:tabs>
          <w:tab w:val="left" w:pos="567"/>
        </w:tabs>
        <w:ind w:left="993" w:hanging="993"/>
      </w:pPr>
      <w:r>
        <w:tab/>
        <w:t xml:space="preserve">“advise”, “apply”, “approve”, “approval”, “consent”, “certify”, “direct”, “notify”, “request”, or “require”, means advise, apply, approve, approval, consent, certify, direct, notify, request, or require in </w:t>
      </w:r>
      <w:r>
        <w:lastRenderedPageBreak/>
        <w:t>writing as the case may be and any inflexion or derivation of any of these words has a corresponding meaning;</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 xml:space="preserve">“Company’s Coal Mining Leases” means such of the coal mining leases referred to in Schedule “A” hereof together with such of the coal mining leases granted to the Company pursuant to Clause 21 as the </w:t>
      </w:r>
      <w:r>
        <w:lastRenderedPageBreak/>
        <w:t>Company holds from time to time during the currency of this Agreement;</w:t>
      </w:r>
    </w:p>
    <w:p>
      <w:pPr>
        <w:pStyle w:val="yMiscellaneousBody"/>
        <w:tabs>
          <w:tab w:val="left" w:pos="567"/>
        </w:tabs>
        <w:ind w:left="993" w:hanging="993"/>
      </w:pPr>
      <w:r>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lastRenderedPageBreak/>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lastRenderedPageBreak/>
        <w:t xml:space="preserve">Interpretation </w:t>
      </w:r>
      <w:r>
        <w:rPr>
          <w:b/>
          <w:vertAlign w:val="superscript"/>
        </w:rPr>
        <w:t>1</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r>
        <w:rPr>
          <w:vertAlign w:val="superscript"/>
        </w:rPr>
        <w:t>1</w:t>
      </w:r>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1</w:t>
      </w:r>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r>
        <w:rPr>
          <w:b/>
          <w:vertAlign w:val="superscript"/>
        </w:rPr>
        <w:t>1</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lastRenderedPageBreak/>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r>
        <w:rPr>
          <w:b/>
          <w:vertAlign w:val="superscript"/>
        </w:rPr>
        <w:t>1</w:t>
      </w:r>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r>
        <w:rPr>
          <w:b/>
          <w:vertAlign w:val="superscript"/>
        </w:rPr>
        <w:t>1</w:t>
      </w:r>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r>
        <w:rPr>
          <w:b/>
          <w:vertAlign w:val="superscript"/>
        </w:rPr>
        <w:t>1</w:t>
      </w:r>
    </w:p>
    <w:p>
      <w:pPr>
        <w:pStyle w:val="yMiscellaneousBody"/>
      </w:pPr>
      <w:r>
        <w:t>7.</w:t>
      </w:r>
      <w:r>
        <w:tab/>
        <w:t>(1)</w:t>
      </w:r>
      <w:r>
        <w:tab/>
        <w:t xml:space="preserve">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w:t>
      </w:r>
      <w:r>
        <w:lastRenderedPageBreak/>
        <w:t>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lastRenderedPageBreak/>
        <w:t xml:space="preserve">Order of proposals </w:t>
      </w:r>
      <w:r>
        <w:rPr>
          <w:b/>
          <w:vertAlign w:val="superscript"/>
        </w:rPr>
        <w:t>1</w:t>
      </w:r>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r>
        <w:rPr>
          <w:b/>
          <w:vertAlign w:val="superscript"/>
        </w:rPr>
        <w:t>1</w:t>
      </w:r>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r>
        <w:rPr>
          <w:b/>
          <w:vertAlign w:val="superscript"/>
        </w:rPr>
        <w:t>1</w:t>
      </w:r>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r>
        <w:rPr>
          <w:b/>
          <w:vertAlign w:val="superscript"/>
        </w:rPr>
        <w:t>1</w:t>
      </w:r>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r>
        <w:rPr>
          <w:b/>
          <w:vertAlign w:val="superscript"/>
        </w:rPr>
        <w:t>1</w:t>
      </w:r>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keepNext/>
        <w:rPr>
          <w:b/>
        </w:rPr>
      </w:pPr>
      <w:r>
        <w:rPr>
          <w:b/>
        </w:rPr>
        <w:lastRenderedPageBreak/>
        <w:t xml:space="preserve">Minister’s decision subject to arbitration </w:t>
      </w:r>
      <w:r>
        <w:rPr>
          <w:b/>
          <w:vertAlign w:val="superscript"/>
        </w:rPr>
        <w:t>1</w:t>
      </w:r>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r>
        <w:rPr>
          <w:b/>
          <w:vertAlign w:val="superscript"/>
        </w:rPr>
        <w:t>1</w:t>
      </w:r>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r>
        <w:rPr>
          <w:b/>
          <w:vertAlign w:val="superscript"/>
        </w:rPr>
        <w:t>1</w:t>
      </w:r>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r>
        <w:rPr>
          <w:b/>
          <w:vertAlign w:val="superscript"/>
        </w:rPr>
        <w:t>1</w:t>
      </w:r>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r>
        <w:rPr>
          <w:b/>
          <w:vertAlign w:val="superscript"/>
        </w:rPr>
        <w:t>1</w:t>
      </w:r>
    </w:p>
    <w:p>
      <w:pPr>
        <w:pStyle w:val="yMiscellaneousBody"/>
      </w:pPr>
      <w:r>
        <w:t xml:space="preserve">9. </w:t>
      </w:r>
      <w:r>
        <w:tab/>
        <w:t>(1)</w:t>
      </w:r>
      <w:r>
        <w:tab/>
        <w:t xml:space="preserve">The Company shall submit to the Minister detailed proposals for the exploration and development of the coal resource contained in the </w:t>
      </w:r>
      <w:r>
        <w:lastRenderedPageBreak/>
        <w:t>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r>
        <w:rPr>
          <w:b/>
          <w:vertAlign w:val="superscript"/>
        </w:rPr>
        <w:t>1</w:t>
      </w:r>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r>
        <w:rPr>
          <w:b/>
          <w:vertAlign w:val="superscript"/>
        </w:rPr>
        <w:t>1</w:t>
      </w:r>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keepNext/>
        <w:rPr>
          <w:b/>
        </w:rPr>
      </w:pPr>
      <w:r>
        <w:rPr>
          <w:b/>
        </w:rPr>
        <w:lastRenderedPageBreak/>
        <w:t xml:space="preserve">Reports </w:t>
      </w:r>
      <w:r>
        <w:rPr>
          <w:b/>
          <w:vertAlign w:val="superscript"/>
        </w:rPr>
        <w:t>1</w:t>
      </w:r>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r>
        <w:rPr>
          <w:b/>
          <w:vertAlign w:val="superscript"/>
        </w:rPr>
        <w:t>1</w:t>
      </w:r>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r>
        <w:rPr>
          <w:b/>
          <w:vertAlign w:val="superscript"/>
        </w:rPr>
        <w:t>1</w:t>
      </w:r>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r>
        <w:rPr>
          <w:b/>
          <w:vertAlign w:val="superscript"/>
        </w:rPr>
        <w:t>1</w:t>
      </w:r>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r>
        <w:rPr>
          <w:b/>
          <w:vertAlign w:val="superscript"/>
        </w:rPr>
        <w:t>1</w:t>
      </w:r>
    </w:p>
    <w:p>
      <w:pPr>
        <w:pStyle w:val="yMiscellaneousBody"/>
      </w:pPr>
      <w:r>
        <w:t>14.</w:t>
      </w:r>
      <w:r>
        <w:tab/>
        <w:t xml:space="preserve">During the currency of this Agreement the Company shall from the commencement of year 1 and thereafter at 5 yearly intervals furnish to the </w:t>
      </w:r>
      <w:r>
        <w:lastRenderedPageBreak/>
        <w:t>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r>
        <w:rPr>
          <w:b/>
          <w:vertAlign w:val="superscript"/>
        </w:rPr>
        <w:t>1</w:t>
      </w:r>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r>
        <w:rPr>
          <w:b/>
          <w:vertAlign w:val="superscript"/>
        </w:rPr>
        <w:t>1</w:t>
      </w:r>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lastRenderedPageBreak/>
        <w:t xml:space="preserve">Spillage of coal </w:t>
      </w:r>
      <w:r>
        <w:rPr>
          <w:b/>
          <w:vertAlign w:val="superscript"/>
        </w:rPr>
        <w:t>1</w:t>
      </w:r>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r>
        <w:rPr>
          <w:b/>
          <w:vertAlign w:val="superscript"/>
        </w:rPr>
        <w:t>1</w:t>
      </w:r>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r>
        <w:rPr>
          <w:b/>
          <w:vertAlign w:val="superscript"/>
        </w:rPr>
        <w:t>1</w:t>
      </w:r>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lastRenderedPageBreak/>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r>
        <w:rPr>
          <w:b/>
          <w:vertAlign w:val="superscript"/>
        </w:rPr>
        <w:t>1</w:t>
      </w:r>
    </w:p>
    <w:p>
      <w:pPr>
        <w:pStyle w:val="yMiscellaneousBody"/>
        <w:rPr>
          <w:b/>
        </w:rPr>
      </w:pPr>
      <w:r>
        <w:rPr>
          <w:b/>
        </w:rPr>
        <w:t xml:space="preserve">Loading facilities </w:t>
      </w:r>
      <w:r>
        <w:rPr>
          <w:b/>
          <w:vertAlign w:val="superscript"/>
        </w:rPr>
        <w:t>1</w:t>
      </w:r>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r>
        <w:rPr>
          <w:b/>
          <w:vertAlign w:val="superscript"/>
        </w:rPr>
        <w:t>1</w:t>
      </w:r>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r>
        <w:rPr>
          <w:b/>
          <w:vertAlign w:val="superscript"/>
        </w:rPr>
        <w:t>1</w:t>
      </w:r>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lastRenderedPageBreak/>
        <w:t xml:space="preserve">Mining </w:t>
      </w:r>
      <w:r>
        <w:rPr>
          <w:b/>
          <w:vertAlign w:val="superscript"/>
        </w:rPr>
        <w:t>1</w:t>
      </w:r>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r>
        <w:rPr>
          <w:b/>
          <w:vertAlign w:val="superscript"/>
        </w:rPr>
        <w:t>1</w:t>
      </w:r>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r>
        <w:rPr>
          <w:b/>
          <w:vertAlign w:val="superscript"/>
        </w:rPr>
        <w:t>1</w:t>
      </w:r>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r>
        <w:rPr>
          <w:b/>
          <w:vertAlign w:val="superscript"/>
        </w:rPr>
        <w:t>1</w:t>
      </w:r>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1</w:t>
      </w:r>
    </w:p>
    <w:p>
      <w:pPr>
        <w:pStyle w:val="yMiscellaneousBody"/>
        <w:keepNext/>
        <w:rPr>
          <w:b/>
        </w:rPr>
      </w:pPr>
      <w:r>
        <w:rPr>
          <w:b/>
        </w:rPr>
        <w:lastRenderedPageBreak/>
        <w:t xml:space="preserve">Non-interference with Muja power station water supply and transmission lines </w:t>
      </w:r>
      <w:r>
        <w:rPr>
          <w:b/>
          <w:vertAlign w:val="superscript"/>
        </w:rPr>
        <w:t>1</w:t>
      </w:r>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r>
        <w:rPr>
          <w:b/>
          <w:vertAlign w:val="superscript"/>
        </w:rPr>
        <w:t>1</w:t>
      </w:r>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r>
        <w:rPr>
          <w:b/>
          <w:vertAlign w:val="superscript"/>
        </w:rPr>
        <w:t>1</w:t>
      </w:r>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r>
        <w:rPr>
          <w:b/>
          <w:vertAlign w:val="superscript"/>
        </w:rPr>
        <w:t>1</w:t>
      </w:r>
    </w:p>
    <w:p>
      <w:pPr>
        <w:pStyle w:val="yMiscellaneousBody"/>
      </w:pPr>
      <w:r>
        <w:t>20.</w:t>
      </w:r>
      <w:r>
        <w:tab/>
        <w:t>(1)</w:t>
      </w:r>
      <w:r>
        <w:tab/>
        <w:t xml:space="preserve">Where pursuant to any proposals approved hereunder, the Company is authorised to enter any State forest or timber reserve for the purposes of exploratory drilling, clearing of timber and undergrowth, or mining, </w:t>
      </w:r>
      <w:r>
        <w:lastRenderedPageBreak/>
        <w:t>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r>
        <w:rPr>
          <w:b/>
          <w:vertAlign w:val="superscript"/>
        </w:rPr>
        <w:t>1</w:t>
      </w:r>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r>
        <w:rPr>
          <w:b/>
          <w:vertAlign w:val="superscript"/>
        </w:rPr>
        <w:t>1</w:t>
      </w:r>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lastRenderedPageBreak/>
        <w:t xml:space="preserve">Term of coal mining leases granted under this Clause </w:t>
      </w:r>
      <w:r>
        <w:rPr>
          <w:b/>
          <w:vertAlign w:val="superscript"/>
        </w:rPr>
        <w:t>1</w:t>
      </w:r>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r>
        <w:rPr>
          <w:b/>
          <w:vertAlign w:val="superscript"/>
        </w:rPr>
        <w:t>1</w:t>
      </w:r>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r>
        <w:rPr>
          <w:b/>
          <w:vertAlign w:val="superscript"/>
        </w:rPr>
        <w:t>1</w:t>
      </w:r>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 xml:space="preserve">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w:t>
      </w:r>
      <w:r>
        <w:lastRenderedPageBreak/>
        <w:t>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r>
        <w:rPr>
          <w:b/>
          <w:vertAlign w:val="superscript"/>
        </w:rPr>
        <w:t>1</w:t>
      </w:r>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r>
        <w:rPr>
          <w:b/>
          <w:vertAlign w:val="superscript"/>
        </w:rPr>
        <w:t>1</w:t>
      </w:r>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r>
        <w:rPr>
          <w:b/>
          <w:vertAlign w:val="superscript"/>
        </w:rPr>
        <w:t>1</w:t>
      </w:r>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r>
        <w:rPr>
          <w:b/>
          <w:vertAlign w:val="superscript"/>
        </w:rPr>
        <w:t>1</w:t>
      </w:r>
    </w:p>
    <w:p>
      <w:pPr>
        <w:pStyle w:val="yMiscellaneousBody"/>
      </w:pPr>
      <w:r>
        <w:tab/>
        <w:t>(8)</w:t>
      </w:r>
      <w:r>
        <w:tab/>
        <w:t xml:space="preserve">The Company shall not prohibit the State and third parties with the consent of the State (with or without stock vehicles and rolling stock) from </w:t>
      </w:r>
      <w:r>
        <w:lastRenderedPageBreak/>
        <w:t>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r>
        <w:rPr>
          <w:b/>
          <w:vertAlign w:val="superscript"/>
        </w:rPr>
        <w:t>1</w:t>
      </w:r>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r>
        <w:rPr>
          <w:b/>
          <w:vertAlign w:val="superscript"/>
        </w:rPr>
        <w:t>1</w:t>
      </w:r>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r>
        <w:rPr>
          <w:b/>
          <w:vertAlign w:val="superscript"/>
        </w:rPr>
        <w:t>1</w:t>
      </w:r>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lastRenderedPageBreak/>
        <w:t xml:space="preserve">Leases, licences, permits and easements </w:t>
      </w:r>
      <w:r>
        <w:rPr>
          <w:b/>
          <w:vertAlign w:val="superscript"/>
        </w:rPr>
        <w:t>1</w:t>
      </w:r>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r>
        <w:rPr>
          <w:b/>
          <w:vertAlign w:val="superscript"/>
        </w:rPr>
        <w:t>1</w:t>
      </w:r>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r>
        <w:rPr>
          <w:b/>
          <w:vertAlign w:val="superscript"/>
        </w:rPr>
        <w:t>1</w:t>
      </w:r>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lastRenderedPageBreak/>
        <w:t xml:space="preserve">Agreements with other parties </w:t>
      </w:r>
      <w:r>
        <w:rPr>
          <w:b/>
          <w:vertAlign w:val="superscript"/>
        </w:rPr>
        <w:t>1</w:t>
      </w:r>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r>
        <w:rPr>
          <w:b/>
          <w:vertAlign w:val="superscript"/>
        </w:rPr>
        <w:t>1</w:t>
      </w:r>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r>
        <w:rPr>
          <w:b/>
          <w:vertAlign w:val="superscript"/>
        </w:rPr>
        <w:t>1</w:t>
      </w:r>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r>
        <w:rPr>
          <w:b/>
          <w:vertAlign w:val="superscript"/>
        </w:rPr>
        <w:t>1</w:t>
      </w:r>
    </w:p>
    <w:p>
      <w:pPr>
        <w:pStyle w:val="yMiscellaneousBody"/>
        <w:rPr>
          <w:spacing w:val="-2"/>
        </w:rPr>
      </w:pPr>
      <w:r>
        <w:tab/>
        <w:t>(3)</w:t>
      </w:r>
      <w:r>
        <w:tab/>
      </w:r>
      <w:r>
        <w:rPr>
          <w:spacing w:val="-2"/>
        </w:rPr>
        <w:t xml:space="preserve">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w:t>
      </w:r>
      <w:r>
        <w:rPr>
          <w:spacing w:val="-2"/>
        </w:rPr>
        <w:lastRenderedPageBreak/>
        <w:t>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r>
        <w:rPr>
          <w:b/>
          <w:vertAlign w:val="superscript"/>
        </w:rPr>
        <w:t>1</w:t>
      </w:r>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r>
        <w:rPr>
          <w:b/>
          <w:vertAlign w:val="superscript"/>
        </w:rPr>
        <w:t>1</w:t>
      </w:r>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r>
        <w:rPr>
          <w:b/>
          <w:vertAlign w:val="superscript"/>
        </w:rPr>
        <w:t>1</w:t>
      </w:r>
    </w:p>
    <w:p>
      <w:pPr>
        <w:pStyle w:val="yMiscellaneousBody"/>
      </w:pPr>
      <w:r>
        <w:t xml:space="preserve">29. </w:t>
      </w:r>
      <w:r>
        <w:tab/>
        <w:t xml:space="preserve">Except as provided by this Agreement the State shall not impose or permit or suffer any instrumentality of the said State or any local authority or other authority to impose discriminatory taxes, rates or charges of any nature </w:t>
      </w:r>
      <w:r>
        <w:lastRenderedPageBreak/>
        <w:t>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r>
        <w:rPr>
          <w:b/>
          <w:vertAlign w:val="superscript"/>
        </w:rPr>
        <w:t>1</w:t>
      </w:r>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r>
        <w:rPr>
          <w:b/>
          <w:vertAlign w:val="superscript"/>
        </w:rPr>
        <w:t>1</w:t>
      </w:r>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r>
        <w:rPr>
          <w:b/>
          <w:vertAlign w:val="superscript"/>
        </w:rPr>
        <w:t>1</w:t>
      </w:r>
    </w:p>
    <w:p>
      <w:pPr>
        <w:pStyle w:val="yMiscellaneousBody"/>
      </w:pPr>
      <w:r>
        <w:t>32.</w:t>
      </w:r>
      <w:r>
        <w:tab/>
        <w:t>(1)</w:t>
      </w:r>
      <w:r>
        <w:tab/>
        <w:t>Subject to the provisions of this Clause the Company may at any time — </w:t>
      </w:r>
    </w:p>
    <w:p>
      <w:pPr>
        <w:pStyle w:val="yMiscellaneousBody"/>
      </w:pPr>
      <w:r>
        <w:tab/>
        <w:t>(a)</w:t>
      </w:r>
      <w:r>
        <w:tab/>
        <w:t xml:space="preserve">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w:t>
      </w:r>
      <w:r>
        <w:lastRenderedPageBreak/>
        <w:t>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lastRenderedPageBreak/>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r>
        <w:rPr>
          <w:b/>
          <w:vertAlign w:val="superscript"/>
        </w:rPr>
        <w:t>1</w:t>
      </w:r>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r>
        <w:rPr>
          <w:b/>
          <w:vertAlign w:val="superscript"/>
        </w:rPr>
        <w:t>1</w:t>
      </w:r>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w:t>
      </w:r>
      <w:r>
        <w:lastRenderedPageBreak/>
        <w:t>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r>
        <w:rPr>
          <w:b/>
          <w:vertAlign w:val="superscript"/>
        </w:rPr>
        <w:t>1</w:t>
      </w:r>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r>
        <w:rPr>
          <w:b/>
          <w:vertAlign w:val="superscript"/>
        </w:rPr>
        <w:t>1</w:t>
      </w:r>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 xml:space="preserve">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w:t>
      </w:r>
      <w:r>
        <w:lastRenderedPageBreak/>
        <w:t>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r>
        <w:rPr>
          <w:b/>
          <w:vertAlign w:val="superscript"/>
        </w:rPr>
        <w:t>1</w:t>
      </w:r>
    </w:p>
    <w:p>
      <w:pPr>
        <w:pStyle w:val="yMiscellaneousBody"/>
      </w:pPr>
      <w:r>
        <w:t>37.</w:t>
      </w:r>
      <w:r>
        <w:tab/>
        <w:t>(1)</w:t>
      </w:r>
      <w:r>
        <w:tab/>
        <w:t>Upon the cessation or determination of this Agreement — </w:t>
      </w:r>
    </w:p>
    <w:p>
      <w:pPr>
        <w:pStyle w:val="yMiscellaneousBody"/>
      </w:pPr>
      <w:r>
        <w:tab/>
        <w:t>(a)</w:t>
      </w:r>
      <w:r>
        <w:tab/>
        <w:t xml:space="preserve">except as otherwise agreed by the Minister the rights of the Company and those of any assignee or mortgagee of the Company under this Agreement or under any coal mining lease granted to the Company pursuant to </w:t>
      </w:r>
      <w:r>
        <w:lastRenderedPageBreak/>
        <w:t>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lastRenderedPageBreak/>
        <w:t xml:space="preserve">Environmental protection </w:t>
      </w:r>
      <w:r>
        <w:rPr>
          <w:b/>
          <w:vertAlign w:val="superscript"/>
        </w:rPr>
        <w:t>1</w:t>
      </w:r>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r>
        <w:rPr>
          <w:b/>
          <w:vertAlign w:val="superscript"/>
        </w:rPr>
        <w:t>1</w:t>
      </w:r>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r>
        <w:rPr>
          <w:b/>
          <w:vertAlign w:val="superscript"/>
        </w:rPr>
        <w:t>1</w:t>
      </w:r>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r>
        <w:rPr>
          <w:b/>
          <w:vertAlign w:val="superscript"/>
        </w:rPr>
        <w:t>1</w:t>
      </w:r>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lastRenderedPageBreak/>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r>
        <w:rPr>
          <w:b/>
          <w:vertAlign w:val="superscript"/>
        </w:rPr>
        <w:t>1</w:t>
      </w:r>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r>
        <w:rPr>
          <w:b/>
          <w:vertAlign w:val="superscript"/>
        </w:rPr>
        <w:t>1</w:t>
      </w:r>
    </w:p>
    <w:p>
      <w:pPr>
        <w:pStyle w:val="yMiscellaneousBody"/>
      </w:pPr>
      <w:r>
        <w:t>43.</w:t>
      </w:r>
      <w:r>
        <w:tab/>
        <w:t xml:space="preserve">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w:t>
      </w:r>
      <w:r>
        <w:lastRenderedPageBreak/>
        <w:t>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r>
        <w:rPr>
          <w:b/>
          <w:vertAlign w:val="superscript"/>
        </w:rPr>
        <w:t>1</w:t>
      </w:r>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r>
        <w:rPr>
          <w:b/>
          <w:vertAlign w:val="superscript"/>
        </w:rPr>
        <w:t>1</w:t>
      </w:r>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r>
        <w:rPr>
          <w:b/>
          <w:vertAlign w:val="superscript"/>
        </w:rPr>
        <w:t>1</w:t>
      </w:r>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r>
        <w:rPr>
          <w:b/>
          <w:vertAlign w:val="superscript"/>
        </w:rPr>
        <w:t>1</w:t>
      </w:r>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r>
        <w:rPr>
          <w:b/>
          <w:vertAlign w:val="superscript"/>
        </w:rPr>
        <w:t>1</w:t>
      </w:r>
    </w:p>
    <w:p>
      <w:pPr>
        <w:pStyle w:val="yMiscellaneousBody"/>
      </w:pPr>
      <w:r>
        <w:t>48.</w:t>
      </w:r>
      <w:r>
        <w:tab/>
        <w:t>This Agreement shall be interpreted according to the law for the time being in force in the said State.</w:t>
      </w:r>
    </w:p>
    <w:p>
      <w:pPr>
        <w:pStyle w:val="yMiscellaneousBody"/>
        <w:keepNext/>
        <w:jc w:val="center"/>
      </w:pPr>
      <w:r>
        <w:lastRenderedPageBreak/>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r>
              <w:rPr>
                <w:noProof/>
              </w:rPr>
              <w:drawing>
                <wp:inline distT="0" distB="0" distL="0" distR="0">
                  <wp:extent cx="11938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THE COMMON SEAL of THE GRIFFIN COAL MINING COMPANY LIMITED was hereunto affixed by authority of the Board of Directors, and in the presence of:</w:t>
            </w:r>
          </w:p>
        </w:tc>
        <w:tc>
          <w:tcPr>
            <w:tcW w:w="709" w:type="dxa"/>
          </w:tcPr>
          <w:p>
            <w:pPr>
              <w:pStyle w:val="yMiscellaneousBody"/>
              <w:keepNext/>
            </w:pPr>
            <w:r>
              <w:rPr>
                <w:noProof/>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(C.S.)</w:t>
            </w:r>
          </w:p>
        </w:tc>
      </w:tr>
    </w:tbl>
    <w:p>
      <w:pPr>
        <w:pStyle w:val="yMiscellaneousBody"/>
        <w:keepNext/>
      </w:pPr>
      <w:r>
        <w:t>Director.  STOWE.</w:t>
      </w:r>
    </w:p>
    <w:p>
      <w:pPr>
        <w:pStyle w:val="yMiscellaneousBody"/>
      </w:pPr>
      <w:r>
        <w:t>Secretary.  D. JESSUP.</w:t>
      </w:r>
    </w:p>
    <w:p>
      <w:pPr>
        <w:pStyle w:val="yScheduleHeading"/>
      </w:pPr>
      <w:bookmarkStart w:id="16" w:name="_Toc138684842"/>
      <w:bookmarkStart w:id="17" w:name="_Toc138684879"/>
      <w:bookmarkStart w:id="18" w:name="_Toc138684964"/>
      <w:bookmarkStart w:id="19" w:name="_Toc138685119"/>
      <w:bookmarkStart w:id="20" w:name="_Toc138690390"/>
      <w:bookmarkStart w:id="21" w:name="_Toc138748415"/>
      <w:r>
        <w:rPr>
          <w:rStyle w:val="CharSchNo"/>
        </w:rPr>
        <w:lastRenderedPageBreak/>
        <w:t>Schedule 2</w:t>
      </w:r>
      <w:r>
        <w:t> — </w:t>
      </w:r>
      <w:r>
        <w:rPr>
          <w:rStyle w:val="CharSchText"/>
        </w:rPr>
        <w:t>2023 variation agreement</w:t>
      </w:r>
      <w:bookmarkEnd w:id="16"/>
      <w:bookmarkEnd w:id="17"/>
      <w:bookmarkEnd w:id="18"/>
      <w:bookmarkEnd w:id="19"/>
      <w:bookmarkEnd w:id="20"/>
      <w:bookmarkEnd w:id="21"/>
    </w:p>
    <w:p>
      <w:pPr>
        <w:pStyle w:val="yShoulderClause"/>
      </w:pPr>
      <w:r>
        <w:t>[s. 2]</w:t>
      </w:r>
    </w:p>
    <w:p>
      <w:pPr>
        <w:pStyle w:val="yFootnoteheading"/>
      </w:pPr>
      <w:r>
        <w:tab/>
        <w:t>[Heading inserted: No. 14 of 2023 s. 7.]</w:t>
      </w:r>
    </w:p>
    <w:p>
      <w:pPr>
        <w:pStyle w:val="yMiscellaneousBody"/>
        <w:keepNext/>
        <w:jc w:val="center"/>
        <w:rPr>
          <w:b/>
        </w:rPr>
      </w:pPr>
      <w:r>
        <w:rPr>
          <w:b/>
        </w:rPr>
        <w:t>2023</w:t>
      </w:r>
    </w:p>
    <w:p>
      <w:pPr>
        <w:pStyle w:val="yMiscellaneousBody"/>
        <w:keepNext/>
        <w:jc w:val="center"/>
        <w:rPr>
          <w:b/>
        </w:rPr>
      </w:pPr>
    </w:p>
    <w:p>
      <w:pPr>
        <w:pStyle w:val="yMiscellaneousBody"/>
        <w:keepNext/>
        <w:jc w:val="center"/>
        <w:rPr>
          <w:b/>
        </w:rPr>
      </w:pPr>
    </w:p>
    <w:p>
      <w:pPr>
        <w:pStyle w:val="yMiscellaneousBody"/>
        <w:jc w:val="center"/>
        <w:rPr>
          <w:b/>
        </w:rPr>
      </w:pPr>
      <w:r>
        <w:rPr>
          <w:b/>
        </w:rPr>
        <w:t>THE HONOURABLE MARK McGOWAN</w:t>
      </w:r>
      <w:r>
        <w:rPr>
          <w:b/>
        </w:rPr>
        <w:br/>
        <w:t>PREMIER OF THE STATE OF WESTERN AUSTRALIA</w:t>
      </w:r>
    </w:p>
    <w:p>
      <w:pPr>
        <w:pStyle w:val="yMiscellaneousBody"/>
        <w:jc w:val="center"/>
        <w:rPr>
          <w:b/>
        </w:rPr>
      </w:pPr>
      <w:r>
        <w:rPr>
          <w:b/>
        </w:rPr>
        <w:t>AND</w:t>
      </w:r>
    </w:p>
    <w:p>
      <w:pPr>
        <w:pStyle w:val="yMiscellaneousBody"/>
        <w:jc w:val="center"/>
        <w:rPr>
          <w:b/>
        </w:rPr>
      </w:pPr>
      <w:r>
        <w:rPr>
          <w:b/>
        </w:rPr>
        <w:t>THE GRIFFIN COAL MINING COMPANY PTY LIMITED (RECEIVERS AND MANAGERS APPOINTED) (IN LIQUIDATION)</w:t>
      </w:r>
    </w:p>
    <w:p>
      <w:pPr>
        <w:pStyle w:val="yMiscellaneousBody"/>
        <w:jc w:val="center"/>
        <w:rPr>
          <w:b/>
        </w:rPr>
      </w:pPr>
      <w:r>
        <w:rPr>
          <w:b/>
        </w:rPr>
        <w:t>ACN 008 667 285</w:t>
      </w:r>
    </w:p>
    <w:p>
      <w:pPr>
        <w:pStyle w:val="yMiscellaneousBody"/>
        <w:jc w:val="center"/>
        <w:rPr>
          <w:b/>
        </w:rPr>
      </w:pPr>
    </w:p>
    <w:p>
      <w:pPr>
        <w:pStyle w:val="yMiscellaneousBody"/>
        <w:spacing w:before="120"/>
        <w:jc w:val="center"/>
        <w:rPr>
          <w:b/>
        </w:rPr>
      </w:pPr>
    </w:p>
    <w:p>
      <w:pPr>
        <w:pStyle w:val="yMiscellaneousBody"/>
        <w:keepNext/>
        <w:pBdr>
          <w:bottom w:val="single" w:sz="6" w:space="1" w:color="auto"/>
        </w:pBdr>
        <w:jc w:val="center"/>
        <w:rPr>
          <w:b/>
        </w:rPr>
      </w:pPr>
    </w:p>
    <w:p>
      <w:pPr>
        <w:pStyle w:val="yMiscellaneousBody"/>
        <w:keepNext/>
        <w:jc w:val="center"/>
        <w:rPr>
          <w:b/>
        </w:rPr>
      </w:pPr>
    </w:p>
    <w:p>
      <w:pPr>
        <w:pStyle w:val="yMiscellaneousBody"/>
        <w:keepNext/>
        <w:jc w:val="center"/>
        <w:rPr>
          <w:b/>
        </w:rPr>
      </w:pPr>
      <w:r>
        <w:rPr>
          <w:b/>
        </w:rPr>
        <w:t>COLLIE COAL (GRIFFIN) AGREEMENT 1979</w:t>
      </w:r>
    </w:p>
    <w:p>
      <w:pPr>
        <w:pStyle w:val="yMiscellaneousBody"/>
        <w:keepNext/>
        <w:jc w:val="center"/>
        <w:rPr>
          <w:b/>
        </w:rPr>
      </w:pPr>
      <w:r>
        <w:rPr>
          <w:b/>
        </w:rPr>
        <w:t>RATIFIED VARIATION AGREEMENT</w:t>
      </w:r>
    </w:p>
    <w:p>
      <w:pPr>
        <w:pStyle w:val="yMiscellaneousBody"/>
        <w:keepNext/>
        <w:pBdr>
          <w:bottom w:val="single" w:sz="6" w:space="1" w:color="auto"/>
        </w:pBdr>
        <w:jc w:val="center"/>
        <w:rPr>
          <w:b/>
        </w:rPr>
      </w:pPr>
    </w:p>
    <w:p>
      <w:pPr>
        <w:pStyle w:val="yMiscellaneousBody"/>
        <w:keepNext/>
        <w:jc w:val="center"/>
        <w:rPr>
          <w:b/>
        </w:rPr>
      </w:pPr>
    </w:p>
    <w:p>
      <w:pPr>
        <w:pStyle w:val="yMiscellaneousBody"/>
        <w:spacing w:before="120"/>
        <w:jc w:val="center"/>
        <w:rPr>
          <w:b/>
        </w:rPr>
      </w:pPr>
    </w:p>
    <w:p>
      <w:pPr>
        <w:pStyle w:val="yMiscellaneousBody"/>
        <w:jc w:val="center"/>
      </w:pPr>
      <w:r>
        <w:t>[Solicitor’s details]</w:t>
      </w:r>
    </w:p>
    <w:p>
      <w:pPr>
        <w:pStyle w:val="yMiscellaneousBody"/>
        <w:spacing w:before="120"/>
        <w:jc w:val="center"/>
        <w:rPr>
          <w:b/>
        </w:rPr>
      </w:pPr>
    </w:p>
    <w:p>
      <w:pPr>
        <w:pStyle w:val="yMiscellaneousBody"/>
        <w:spacing w:before="120"/>
        <w:jc w:val="center"/>
        <w:rPr>
          <w:b/>
        </w:rPr>
      </w:pPr>
    </w:p>
    <w:p>
      <w:pPr>
        <w:pStyle w:val="yMiscellaneousBody"/>
        <w:tabs>
          <w:tab w:val="left" w:pos="4111"/>
          <w:tab w:val="right" w:pos="8307"/>
        </w:tabs>
        <w:jc w:val="both"/>
      </w:pPr>
      <w:r>
        <w:rPr>
          <w:b/>
        </w:rPr>
        <w:t>THIS AGREEMENT</w:t>
      </w:r>
      <w:r>
        <w:t xml:space="preserve"> is made this 4</w:t>
      </w:r>
      <w:r>
        <w:rPr>
          <w:vertAlign w:val="superscript"/>
        </w:rPr>
        <w:t xml:space="preserve">th </w:t>
      </w:r>
      <w:r>
        <w:t>day of May 2023</w:t>
      </w:r>
    </w:p>
    <w:p>
      <w:pPr>
        <w:pStyle w:val="yMiscellaneousBody"/>
        <w:jc w:val="both"/>
        <w:rPr>
          <w:b/>
        </w:rPr>
      </w:pPr>
    </w:p>
    <w:p>
      <w:pPr>
        <w:pStyle w:val="yMiscellaneousBody"/>
        <w:jc w:val="both"/>
        <w:rPr>
          <w:b/>
        </w:rPr>
      </w:pPr>
      <w:r>
        <w:rPr>
          <w:b/>
        </w:rPr>
        <w:lastRenderedPageBreak/>
        <w:t>BETWEEN</w:t>
      </w:r>
    </w:p>
    <w:p>
      <w:pPr>
        <w:pStyle w:val="yMiscellaneousBody"/>
        <w:jc w:val="both"/>
        <w:rPr>
          <w:b/>
        </w:rPr>
      </w:pPr>
    </w:p>
    <w:p>
      <w:pPr>
        <w:pStyle w:val="yMiscellaneousBody"/>
        <w:jc w:val="both"/>
      </w:pPr>
      <w:r>
        <w:rPr>
          <w:b/>
        </w:rPr>
        <w:t>THE HONOURABLE MARK McGOWAN</w:t>
      </w:r>
      <w:r>
        <w:t>, BA, LLB, M.L.A., Premier of the State of Western Australia, acting for and on behalf of the said State and its instrumentalities from time to time ("</w:t>
      </w:r>
      <w:r>
        <w:rPr>
          <w:b/>
        </w:rPr>
        <w:t>the State</w:t>
      </w:r>
      <w:r>
        <w:t>") of the one part</w:t>
      </w:r>
    </w:p>
    <w:p>
      <w:pPr>
        <w:pStyle w:val="yMiscellaneousBody"/>
        <w:jc w:val="both"/>
        <w:rPr>
          <w:b/>
        </w:rPr>
      </w:pPr>
      <w:r>
        <w:rPr>
          <w:b/>
        </w:rPr>
        <w:t>AND</w:t>
      </w:r>
    </w:p>
    <w:p>
      <w:pPr>
        <w:pStyle w:val="yMiscellaneousBody"/>
        <w:jc w:val="both"/>
      </w:pPr>
      <w:r>
        <w:rPr>
          <w:b/>
        </w:rPr>
        <w:t>THE GRIFFIN COAL MINING COMPANY PTY LIMITED</w:t>
      </w:r>
      <w:r>
        <w:t xml:space="preserve"> ACN 008 667 285 (receivers and managers appointed) (in liquidation) of Level 1, 7 Rheola Street, West Perth, Western Australia ("</w:t>
      </w:r>
      <w:r>
        <w:rPr>
          <w:b/>
        </w:rPr>
        <w:t>the Company</w:t>
      </w:r>
      <w:r>
        <w:t xml:space="preserve">") of the other part. </w:t>
      </w:r>
    </w:p>
    <w:p>
      <w:pPr>
        <w:pStyle w:val="yMiscellaneousBody"/>
        <w:jc w:val="both"/>
      </w:pPr>
    </w:p>
    <w:p>
      <w:pPr>
        <w:pStyle w:val="yMiscellaneousBody"/>
        <w:jc w:val="both"/>
        <w:rPr>
          <w:b/>
        </w:rPr>
      </w:pPr>
      <w:r>
        <w:rPr>
          <w:b/>
        </w:rPr>
        <w:t>RECITALS</w:t>
      </w:r>
    </w:p>
    <w:p>
      <w:pPr>
        <w:pStyle w:val="yMiscellaneousBody"/>
        <w:ind w:left="880" w:hanging="880"/>
        <w:jc w:val="both"/>
      </w:pPr>
      <w:r>
        <w:rPr>
          <w:b/>
        </w:rPr>
        <w:t>A.</w:t>
      </w:r>
      <w:r>
        <w:tab/>
        <w:t xml:space="preserve">The State and the Company are the parties to the agreement dated 5 November 1979 ratified by and scheduled to the </w:t>
      </w:r>
      <w:r>
        <w:rPr>
          <w:i/>
        </w:rPr>
        <w:t>Collie Coal (Griffin) Agreement Act 1979</w:t>
      </w:r>
      <w:r>
        <w:t xml:space="preserve"> and which is referred to in this Agreement as the "</w:t>
      </w:r>
      <w:r>
        <w:rPr>
          <w:b/>
        </w:rPr>
        <w:t>Principal Agreement</w:t>
      </w:r>
      <w:r>
        <w:t>".</w:t>
      </w:r>
    </w:p>
    <w:p>
      <w:pPr>
        <w:pStyle w:val="yMiscellaneousBody"/>
        <w:ind w:left="880" w:hanging="880"/>
        <w:jc w:val="both"/>
      </w:pPr>
      <w:r>
        <w:rPr>
          <w:b/>
        </w:rPr>
        <w:t>B.</w:t>
      </w:r>
      <w:r>
        <w:tab/>
        <w:t>The parties wish to vary the provisions of the Principal Agreement on the terms and conditions set out in this Agreement.</w:t>
      </w:r>
    </w:p>
    <w:p>
      <w:pPr>
        <w:pStyle w:val="yMiscellaneousBody"/>
        <w:jc w:val="both"/>
      </w:pPr>
    </w:p>
    <w:p>
      <w:pPr>
        <w:pStyle w:val="yMiscellaneousBody"/>
        <w:jc w:val="both"/>
        <w:rPr>
          <w:b/>
        </w:rPr>
      </w:pPr>
      <w:r>
        <w:rPr>
          <w:b/>
        </w:rPr>
        <w:t>THE PARTIES AGREE AS FOLLOWS:</w:t>
      </w:r>
    </w:p>
    <w:p>
      <w:pPr>
        <w:pStyle w:val="yMiscellaneousBody"/>
        <w:tabs>
          <w:tab w:val="left" w:pos="851"/>
        </w:tabs>
        <w:jc w:val="both"/>
        <w:rPr>
          <w:b/>
        </w:rPr>
      </w:pPr>
      <w:r>
        <w:rPr>
          <w:b/>
        </w:rPr>
        <w:t>1.</w:t>
      </w:r>
      <w:r>
        <w:rPr>
          <w:b/>
        </w:rPr>
        <w:tab/>
        <w:t>Ratification and operation</w:t>
      </w:r>
    </w:p>
    <w:p>
      <w:pPr>
        <w:pStyle w:val="yMiscellaneousBody"/>
        <w:tabs>
          <w:tab w:val="right" w:pos="595"/>
        </w:tabs>
        <w:ind w:left="880" w:hanging="880"/>
        <w:jc w:val="both"/>
      </w:pPr>
      <w:r>
        <w:tab/>
        <w:t>(1)</w:t>
      </w:r>
      <w:r>
        <w:tab/>
        <w:t>This Agreement, other than this clause, does not come into operation except in accordance with subclause (2).</w:t>
      </w:r>
    </w:p>
    <w:p>
      <w:pPr>
        <w:pStyle w:val="yMiscellaneousBody"/>
        <w:tabs>
          <w:tab w:val="right" w:pos="595"/>
        </w:tabs>
        <w:ind w:left="88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The State must introduce in the Parliament of Western Australia on or before 22 June 2023 or a later date agreed between the parties to this Agreement, a Bill to ratify this Agreement however the State is not obliged to endeavour to secure its passage as an Act.</w:t>
      </w:r>
    </w:p>
    <w:p>
      <w:pPr>
        <w:pStyle w:val="yMiscellaneousBody"/>
        <w:tabs>
          <w:tab w:val="right" w:pos="595"/>
        </w:tabs>
        <w:ind w:left="880" w:hanging="880"/>
        <w:jc w:val="both"/>
      </w:pPr>
      <w:r>
        <w:lastRenderedPageBreak/>
        <w:tab/>
        <w:t>(4)</w:t>
      </w:r>
      <w:r>
        <w:tab/>
        <w:t>If by 30 June 2023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(6)</w:t>
      </w:r>
      <w:r>
        <w:tab/>
        <w:t>The State acknowledges and agrees that, notwithstanding any other provision of this Agreement or the Principal Agreement:</w:t>
      </w:r>
    </w:p>
    <w:p>
      <w:pPr>
        <w:pStyle w:val="yMiscellaneousBody"/>
        <w:tabs>
          <w:tab w:val="right" w:pos="1134"/>
          <w:tab w:val="left" w:pos="1616"/>
        </w:tabs>
        <w:ind w:left="1560" w:hanging="1620"/>
        <w:jc w:val="both"/>
      </w:pPr>
      <w:r>
        <w:tab/>
        <w:t>(a)</w:t>
      </w:r>
      <w:r>
        <w:tab/>
        <w:t>Matthew Donnelly, Sean Holmes and Grant Sparks ("</w:t>
      </w:r>
      <w:r>
        <w:rPr>
          <w:b/>
        </w:rPr>
        <w:t>Receivers</w:t>
      </w:r>
      <w:r>
        <w:t>") execute this Agreement as joint and several receivers and managers of the assets of the Company for and on behalf of and as agents of the Company;</w:t>
      </w:r>
    </w:p>
    <w:p>
      <w:pPr>
        <w:pStyle w:val="yMiscellaneousBody"/>
        <w:tabs>
          <w:tab w:val="right" w:pos="1134"/>
          <w:tab w:val="left" w:pos="1616"/>
        </w:tabs>
        <w:ind w:left="1560" w:hanging="1620"/>
        <w:jc w:val="both"/>
      </w:pPr>
      <w:r>
        <w:tab/>
        <w:t>(b)</w:t>
      </w:r>
      <w:r>
        <w:tab/>
        <w:t xml:space="preserve">the Receivers are not liable in their personal capacity in any way in connection with this Agreement or the Principal Agreement, except to the extent any liability is caused or contributed to by the recklessness, fraud, gross negligence or wilful misconduct of any Receiver; </w:t>
      </w:r>
    </w:p>
    <w:p>
      <w:pPr>
        <w:pStyle w:val="yMiscellaneousBody"/>
        <w:tabs>
          <w:tab w:val="right" w:pos="1134"/>
          <w:tab w:val="left" w:pos="1616"/>
        </w:tabs>
        <w:ind w:left="1560" w:hanging="1620"/>
        <w:jc w:val="both"/>
      </w:pPr>
      <w:r>
        <w:tab/>
        <w:t>(c)</w:t>
      </w:r>
      <w:r>
        <w:tab/>
        <w:t>to the maximum extent permitted by law, the State releases and forever discharges the Receivers personally from any liability under this Agreement or the Principal Agreement, except to the extent any liability is caused or contributed to by the recklessness, fraud, gross negligence or wilful misconduct of any Receiver; and</w:t>
      </w:r>
    </w:p>
    <w:p>
      <w:pPr>
        <w:pStyle w:val="yMiscellaneousBody"/>
        <w:keepLines/>
        <w:tabs>
          <w:tab w:val="right" w:pos="1134"/>
          <w:tab w:val="left" w:pos="1616"/>
        </w:tabs>
        <w:ind w:left="1560" w:hanging="1620"/>
        <w:jc w:val="both"/>
      </w:pPr>
      <w:r>
        <w:tab/>
        <w:t>(d)</w:t>
      </w:r>
      <w:r>
        <w:tab/>
        <w:t xml:space="preserve">the limitations on the Receivers’ liability under this Agreement will continue notwithstanding the Receivers ceasing to act as receivers and managers of the assets of the Company or this Agreement being terminated or amended. </w:t>
      </w:r>
    </w:p>
    <w:p>
      <w:pPr>
        <w:pStyle w:val="yMiscellaneousBody"/>
        <w:keepNext/>
        <w:tabs>
          <w:tab w:val="left" w:pos="851"/>
        </w:tabs>
        <w:jc w:val="both"/>
        <w:rPr>
          <w:b/>
        </w:rPr>
      </w:pPr>
      <w:r>
        <w:rPr>
          <w:b/>
        </w:rPr>
        <w:lastRenderedPageBreak/>
        <w:t>2.</w:t>
      </w:r>
      <w:r>
        <w:rPr>
          <w:b/>
        </w:rPr>
        <w:tab/>
        <w:t>Variations of the Principal Agreement</w:t>
      </w:r>
    </w:p>
    <w:p>
      <w:pPr>
        <w:pStyle w:val="yMiscellaneousBody"/>
        <w:keepNext/>
        <w:ind w:left="880" w:hanging="520"/>
        <w:jc w:val="both"/>
      </w:pPr>
      <w:r>
        <w:tab/>
        <w:t>The Principal Agreement is varied as follows:</w:t>
      </w:r>
    </w:p>
    <w:p>
      <w:pPr>
        <w:pStyle w:val="yMiscellaneousBody"/>
        <w:keepNext/>
        <w:ind w:left="880" w:hanging="520"/>
        <w:jc w:val="both"/>
      </w:pPr>
      <w:r>
        <w:t>(1)</w:t>
      </w:r>
      <w:r>
        <w:tab/>
        <w:t>in clause 1 by inserting in the appropriate alphabetical position the following new definition:</w:t>
      </w:r>
    </w:p>
    <w:p>
      <w:pPr>
        <w:pStyle w:val="yMiscellaneousBody"/>
        <w:keepNext/>
        <w:ind w:left="880" w:hanging="520"/>
        <w:jc w:val="both"/>
      </w:pPr>
      <w:r>
        <w:tab/>
        <w:t>"variation date" means the date on which Clause 2 of the variation agreement made on or about 4 May 2023 between the Honourable Mark McGowan, Premier of the State of Western Australia, acting for and on behalf of the said State and its instrumentalities from time to time and the Company comes into operation;</w:t>
      </w:r>
    </w:p>
    <w:p>
      <w:pPr>
        <w:pStyle w:val="yMiscellaneousBody"/>
        <w:keepNext/>
        <w:ind w:left="880" w:hanging="520"/>
        <w:jc w:val="both"/>
      </w:pPr>
      <w:r>
        <w:t>(2)</w:t>
      </w:r>
      <w:r>
        <w:tab/>
        <w:t>by inserting after clause 10 the following new clause:</w:t>
      </w:r>
    </w:p>
    <w:p>
      <w:pPr>
        <w:pStyle w:val="yMiscellaneousBody"/>
        <w:keepNext/>
        <w:tabs>
          <w:tab w:val="left" w:pos="993"/>
          <w:tab w:val="left" w:pos="1701"/>
          <w:tab w:val="left" w:pos="2127"/>
        </w:tabs>
        <w:ind w:left="880" w:hanging="520"/>
        <w:jc w:val="both"/>
        <w:rPr>
          <w:b/>
        </w:rPr>
      </w:pPr>
      <w:r>
        <w:tab/>
      </w:r>
      <w:r>
        <w:rPr>
          <w:b/>
        </w:rPr>
        <w:t>"Proposals after variation date</w:t>
      </w:r>
    </w:p>
    <w:p>
      <w:pPr>
        <w:pStyle w:val="yMiscellaneousBody"/>
        <w:keepNext/>
        <w:tabs>
          <w:tab w:val="left" w:pos="993"/>
          <w:tab w:val="left" w:pos="1701"/>
          <w:tab w:val="left" w:pos="2127"/>
        </w:tabs>
        <w:ind w:left="880" w:hanging="520"/>
        <w:jc w:val="both"/>
        <w:rPr>
          <w:b/>
        </w:rPr>
      </w:pPr>
      <w:r>
        <w:rPr>
          <w:b/>
        </w:rPr>
        <w:tab/>
        <w:t>Extension of timeframes of approved proposals</w:t>
      </w:r>
    </w:p>
    <w:p>
      <w:pPr>
        <w:pStyle w:val="yMiscellaneousBody"/>
        <w:keepNext/>
        <w:tabs>
          <w:tab w:val="left" w:pos="1701"/>
          <w:tab w:val="left" w:pos="2410"/>
        </w:tabs>
        <w:ind w:left="2410" w:hanging="1559"/>
        <w:jc w:val="both"/>
      </w:pPr>
      <w:r>
        <w:t>11A.</w:t>
      </w:r>
      <w:r>
        <w:tab/>
        <w:t>(1)</w:t>
      </w:r>
      <w:r>
        <w:tab/>
        <w:t xml:space="preserve">Subject to Clause 10 and this Clause generally, all timeframes (whether express or implied) for any activities obliged and authorised to be undertaken by the Company pursuant to this Agreement and approved proposals hereunder (including measures to be taken for the protection and management of the environment) on or prior to 30 June 2023 shall be deemed extended on and from the variation date to 30 June 2024. </w:t>
      </w:r>
    </w:p>
    <w:p>
      <w:pPr>
        <w:pStyle w:val="yMiscellaneousBody"/>
        <w:keepNext/>
        <w:ind w:left="880" w:hanging="520"/>
        <w:jc w:val="both"/>
        <w:rPr>
          <w:b/>
        </w:rPr>
      </w:pPr>
      <w:r>
        <w:rPr>
          <w:b/>
        </w:rPr>
        <w:tab/>
        <w:t>Additional proposals for financial year ending 30 June 2024</w:t>
      </w:r>
    </w:p>
    <w:p>
      <w:pPr>
        <w:pStyle w:val="yMiscellaneousBody"/>
        <w:keepNext/>
        <w:tabs>
          <w:tab w:val="left" w:pos="1701"/>
          <w:tab w:val="left" w:pos="2410"/>
        </w:tabs>
        <w:ind w:left="2410" w:hanging="1559"/>
        <w:jc w:val="both"/>
      </w:pPr>
      <w:r>
        <w:tab/>
        <w:t>(2)</w:t>
      </w:r>
      <w:r>
        <w:tab/>
        <w:t xml:space="preserve">The Company shall, not later than 3 months after the variation date (or such extended time as the Minister may allow), submit detailed proposals under and in accordance with Clause 10 for the financial year ending 30 June 2024 for the exploration and development of the coal resource contained in the Company’s Coal Mining Leases and as to such of the matters mentioned in paragraphs (a) to (l) of subclause (1) of Clause 7 as the Minister may require and such proposals shall be deemed to meet the requirement of Clause 10 that the proposals evidence a significant variation of the Company’s activities </w:t>
      </w:r>
      <w:r>
        <w:lastRenderedPageBreak/>
        <w:t xml:space="preserve">under this Agreement to a greater extent than those specified in any approved proposals. </w:t>
      </w:r>
    </w:p>
    <w:p>
      <w:pPr>
        <w:pStyle w:val="yMiscellaneousBody"/>
        <w:keepNext/>
        <w:ind w:left="880" w:hanging="520"/>
        <w:jc w:val="both"/>
        <w:rPr>
          <w:b/>
        </w:rPr>
      </w:pPr>
      <w:r>
        <w:tab/>
      </w:r>
      <w:r>
        <w:rPr>
          <w:b/>
        </w:rPr>
        <w:t>Additional proposals for financial year ending 30 June 2025</w:t>
      </w:r>
    </w:p>
    <w:p>
      <w:pPr>
        <w:pStyle w:val="yMiscellaneousBody"/>
        <w:tabs>
          <w:tab w:val="left" w:pos="1701"/>
          <w:tab w:val="left" w:pos="2410"/>
        </w:tabs>
        <w:ind w:left="2410" w:hanging="1559"/>
        <w:jc w:val="both"/>
      </w:pPr>
      <w:r>
        <w:tab/>
        <w:t>(3)</w:t>
      </w:r>
      <w:r>
        <w:tab/>
        <w:t>If the term of the Agreement is extended by the Minister pursuant to subclause (3) of Clause 49 then the draft additional proposals accompanying the notice given pursuant to subclause (2) of Clause 49 shall be deemed, on the date of the Minister’s decision under subclause (3) of that Clause, to be submitted by the Company under and in accordance with Clause 10 and without limitation to the Minister’s consideration of such proposals under that Clause."</w:t>
      </w:r>
    </w:p>
    <w:p>
      <w:pPr>
        <w:pStyle w:val="yMiscellaneousBody"/>
        <w:ind w:left="880" w:hanging="520"/>
        <w:jc w:val="both"/>
      </w:pPr>
      <w:r>
        <w:t>(3)</w:t>
      </w:r>
      <w:r>
        <w:tab/>
        <w:t>in clause 21 by:</w:t>
      </w:r>
    </w:p>
    <w:p>
      <w:pPr>
        <w:pStyle w:val="yMiscellaneousBody"/>
        <w:tabs>
          <w:tab w:val="right" w:pos="1134"/>
          <w:tab w:val="left" w:pos="1418"/>
        </w:tabs>
        <w:ind w:left="1560" w:hanging="1620"/>
        <w:jc w:val="both"/>
      </w:pPr>
      <w:r>
        <w:tab/>
        <w:t>(a)</w:t>
      </w:r>
      <w:r>
        <w:tab/>
        <w:t>inserting after subclause (2) the following new subclause:</w:t>
      </w:r>
    </w:p>
    <w:p>
      <w:pPr>
        <w:pStyle w:val="yMiscellaneousBody"/>
        <w:tabs>
          <w:tab w:val="left" w:pos="567"/>
          <w:tab w:val="left" w:pos="1418"/>
        </w:tabs>
        <w:ind w:left="1418" w:hanging="1418"/>
        <w:jc w:val="both"/>
        <w:rPr>
          <w:b/>
        </w:rPr>
      </w:pPr>
      <w:r>
        <w:rPr>
          <w:b/>
        </w:rPr>
        <w:tab/>
      </w:r>
      <w:r>
        <w:rPr>
          <w:b/>
        </w:rPr>
        <w:tab/>
        <w:t>"Extended term of coal mining leases granted under this Clause</w:t>
      </w:r>
    </w:p>
    <w:p>
      <w:pPr>
        <w:pStyle w:val="yMiscellaneousBody"/>
        <w:tabs>
          <w:tab w:val="left" w:pos="1418"/>
        </w:tabs>
        <w:ind w:left="2127" w:hanging="1767"/>
        <w:jc w:val="both"/>
      </w:pPr>
      <w:r>
        <w:tab/>
        <w:t>(2a)</w:t>
      </w:r>
      <w:r>
        <w:tab/>
        <w:t>The term of each coal mining lease, granted to the Company pursuant to subclause (1) of this Clause and subsisting immediately prior to the variation date, is deemed to continue until:</w:t>
      </w:r>
    </w:p>
    <w:p>
      <w:pPr>
        <w:pStyle w:val="yMiscellaneousBody"/>
        <w:tabs>
          <w:tab w:val="left" w:pos="1418"/>
          <w:tab w:val="left" w:pos="2127"/>
          <w:tab w:val="left" w:pos="2694"/>
        </w:tabs>
        <w:ind w:left="880" w:hanging="520"/>
        <w:jc w:val="both"/>
      </w:pPr>
      <w:r>
        <w:tab/>
      </w:r>
      <w:r>
        <w:tab/>
      </w:r>
      <w:r>
        <w:tab/>
        <w:t>(a)</w:t>
      </w:r>
      <w:r>
        <w:tab/>
        <w:t>30 June 2024; or</w:t>
      </w:r>
    </w:p>
    <w:p>
      <w:pPr>
        <w:pStyle w:val="yMiscellaneousBody"/>
        <w:tabs>
          <w:tab w:val="left" w:pos="1418"/>
          <w:tab w:val="left" w:pos="2127"/>
          <w:tab w:val="left" w:pos="2694"/>
        </w:tabs>
        <w:ind w:left="2694" w:hanging="2334"/>
        <w:jc w:val="both"/>
      </w:pPr>
      <w:r>
        <w:tab/>
      </w:r>
      <w:r>
        <w:tab/>
        <w:t>(b)</w:t>
      </w:r>
      <w:r>
        <w:tab/>
        <w:t>if the Minister extends the term of the Agreement under subclause (3) of Clause 49, 30 June 2025,</w:t>
      </w:r>
    </w:p>
    <w:p>
      <w:pPr>
        <w:pStyle w:val="yMiscellaneousBody"/>
        <w:tabs>
          <w:tab w:val="left" w:pos="1418"/>
        </w:tabs>
        <w:ind w:left="2127" w:hanging="1767"/>
        <w:jc w:val="both"/>
      </w:pPr>
      <w:r>
        <w:tab/>
      </w:r>
      <w:r>
        <w:tab/>
        <w:t>subject in each case to the sooner determination of such term upon the cessation or determination of this Agreement. "</w:t>
      </w:r>
    </w:p>
    <w:p>
      <w:pPr>
        <w:pStyle w:val="yMiscellaneousBody"/>
        <w:keepNext/>
        <w:tabs>
          <w:tab w:val="right" w:pos="1134"/>
          <w:tab w:val="left" w:pos="1418"/>
        </w:tabs>
        <w:ind w:left="1418" w:hanging="1478"/>
        <w:jc w:val="both"/>
      </w:pPr>
      <w:r>
        <w:tab/>
        <w:t>(b)</w:t>
      </w:r>
      <w:r>
        <w:tab/>
        <w:t>inserting in subclause (3) after the word "Agreement" and before the full stop the following:</w:t>
      </w:r>
    </w:p>
    <w:p>
      <w:pPr>
        <w:pStyle w:val="yMiscellaneousBody"/>
        <w:tabs>
          <w:tab w:val="right" w:pos="1134"/>
          <w:tab w:val="left" w:pos="1418"/>
        </w:tabs>
        <w:ind w:left="1418" w:hanging="1478"/>
        <w:jc w:val="both"/>
      </w:pPr>
      <w:r>
        <w:tab/>
      </w:r>
      <w:r>
        <w:tab/>
        <w:t>", including as extended by and in accordance with Clause 49"; and</w:t>
      </w:r>
    </w:p>
    <w:p>
      <w:pPr>
        <w:pStyle w:val="yMiscellaneousBody"/>
        <w:keepNext/>
        <w:ind w:left="880" w:hanging="520"/>
        <w:jc w:val="both"/>
      </w:pPr>
      <w:r>
        <w:lastRenderedPageBreak/>
        <w:t>(4)</w:t>
      </w:r>
      <w:r>
        <w:tab/>
        <w:t>by inserting after clause 48 the following new clause:</w:t>
      </w:r>
    </w:p>
    <w:p>
      <w:pPr>
        <w:pStyle w:val="yMiscellaneousBody"/>
        <w:keepNext/>
        <w:tabs>
          <w:tab w:val="left" w:pos="993"/>
          <w:tab w:val="left" w:pos="1701"/>
          <w:tab w:val="left" w:pos="2127"/>
        </w:tabs>
        <w:ind w:left="880" w:hanging="520"/>
        <w:jc w:val="both"/>
        <w:rPr>
          <w:b/>
        </w:rPr>
      </w:pPr>
      <w:r>
        <w:rPr>
          <w:b/>
        </w:rPr>
        <w:tab/>
        <w:t>"Term of Agreement</w:t>
      </w:r>
    </w:p>
    <w:p>
      <w:pPr>
        <w:pStyle w:val="yMiscellaneousBody"/>
        <w:keepNext/>
        <w:tabs>
          <w:tab w:val="left" w:pos="1701"/>
          <w:tab w:val="left" w:pos="2410"/>
        </w:tabs>
        <w:ind w:left="2410" w:hanging="1559"/>
        <w:jc w:val="both"/>
        <w:rPr>
          <w:b/>
        </w:rPr>
      </w:pPr>
      <w:r>
        <w:t>49.</w:t>
      </w:r>
      <w:r>
        <w:tab/>
        <w:t>(1)</w:t>
      </w:r>
      <w:r>
        <w:tab/>
        <w:t xml:space="preserve">Subject to the provisions of Clauses 36 and 37 and of this Clause, this Agreement shall expire on 30 June 2024. </w:t>
      </w:r>
    </w:p>
    <w:p>
      <w:pPr>
        <w:pStyle w:val="yMiscellaneousBody"/>
        <w:keepNext/>
        <w:tabs>
          <w:tab w:val="left" w:pos="1701"/>
          <w:tab w:val="left" w:pos="2410"/>
        </w:tabs>
        <w:ind w:left="2410" w:hanging="1559"/>
        <w:jc w:val="both"/>
      </w:pPr>
      <w:r>
        <w:tab/>
        <w:t>(2)</w:t>
      </w:r>
      <w:r>
        <w:tab/>
        <w:t>The Company may give notice to the Minister not earlier than 1 March 2024 and not later than 31 March 2024 of its desire for the provisions of this Agreement to be extended for a further period of 12 months expiring on 30 June 2025 and such notice shall be accompanied by detailed additional proposals in draft form for the further period for the exploration and development of the coal resource contained in the Company’s Coal Mining Leases and as to such of the matters mentioned in paragraphs (a) to (l) of subclause (1) of Clause 7 as the Minister may require.</w:t>
      </w:r>
    </w:p>
    <w:p>
      <w:pPr>
        <w:pStyle w:val="yMiscellaneousBody"/>
        <w:tabs>
          <w:tab w:val="left" w:pos="1701"/>
          <w:tab w:val="left" w:pos="2410"/>
        </w:tabs>
        <w:ind w:left="2410" w:hanging="1559"/>
        <w:jc w:val="both"/>
      </w:pPr>
      <w:r>
        <w:tab/>
        <w:t>(3)</w:t>
      </w:r>
      <w:r>
        <w:tab/>
        <w:t>The Minister may, if the Minister thinks fit, extend the term of this Agreement and any such extended term shall be subject to the provisions of Clauses 36 and 37."</w:t>
      </w:r>
    </w:p>
    <w:p>
      <w:pPr>
        <w:pStyle w:val="yMiscellaneousBody"/>
        <w:tabs>
          <w:tab w:val="right" w:pos="1332"/>
          <w:tab w:val="left" w:pos="1616"/>
        </w:tabs>
        <w:ind w:left="1560" w:hanging="1560"/>
        <w:jc w:val="both"/>
      </w:pPr>
      <w:r>
        <w:rPr>
          <w:b/>
        </w:rPr>
        <w:t>EXECUTED</w:t>
      </w:r>
      <w:r>
        <w:t xml:space="preserve"> as a deed.</w:t>
      </w:r>
    </w:p>
    <w:p>
      <w:pPr>
        <w:pStyle w:val="yMiscellaneousBody"/>
        <w:tabs>
          <w:tab w:val="right" w:pos="1332"/>
          <w:tab w:val="left" w:pos="1616"/>
        </w:tabs>
        <w:ind w:left="1560" w:hanging="1560"/>
        <w:jc w:val="both"/>
      </w:pPr>
    </w:p>
    <w:p>
      <w:pPr>
        <w:pStyle w:val="yMiscellaneousBody"/>
        <w:tabs>
          <w:tab w:val="right" w:pos="1332"/>
          <w:tab w:val="left" w:pos="1616"/>
        </w:tabs>
        <w:ind w:left="1560" w:hanging="1560"/>
        <w:jc w:val="both"/>
      </w:pPr>
    </w:p>
    <w:tbl>
      <w:tblPr>
        <w:tblW w:w="7046" w:type="dxa"/>
        <w:tblInd w:w="42" w:type="dxa"/>
        <w:tblLayout w:type="fixed"/>
        <w:tblCellMar>
          <w:left w:w="71" w:type="dxa"/>
          <w:right w:w="71" w:type="dxa"/>
        </w:tblCellMar>
        <w:tblLook w:val="0000" w:firstRow="0" w:lastRow="0" w:firstColumn="0" w:lastColumn="0" w:noHBand="0" w:noVBand="0"/>
      </w:tblPr>
      <w:tblGrid>
        <w:gridCol w:w="3668"/>
        <w:gridCol w:w="266"/>
        <w:gridCol w:w="3112"/>
      </w:tblGrid>
      <w:tr>
        <w:tc>
          <w:tcPr>
            <w:tcW w:w="3668" w:type="dxa"/>
            <w:noWrap/>
          </w:tcPr>
          <w:p>
            <w:pPr>
              <w:pStyle w:val="yTableNAm"/>
              <w:spacing w:before="0"/>
              <w:rPr>
                <w:szCs w:val="24"/>
              </w:rPr>
            </w:pPr>
            <w:r>
              <w:rPr>
                <w:b/>
                <w:szCs w:val="24"/>
              </w:rPr>
              <w:t>SIGNED</w:t>
            </w:r>
            <w:r>
              <w:rPr>
                <w:szCs w:val="24"/>
              </w:rPr>
              <w:t xml:space="preserve"> by </w:t>
            </w:r>
            <w:r>
              <w:rPr>
                <w:b/>
                <w:szCs w:val="22"/>
              </w:rPr>
              <w:t xml:space="preserve">THE </w:t>
            </w:r>
            <w:r>
              <w:rPr>
                <w:b/>
                <w:szCs w:val="24"/>
              </w:rPr>
              <w:t xml:space="preserve">HONOURABLE </w:t>
            </w:r>
            <w:r>
              <w:rPr>
                <w:b/>
                <w:szCs w:val="22"/>
              </w:rPr>
              <w:t>MARK McGOWAN</w:t>
            </w:r>
            <w:r>
              <w:rPr>
                <w:szCs w:val="22"/>
              </w:rPr>
              <w:br/>
            </w:r>
            <w:r>
              <w:rPr>
                <w:szCs w:val="24"/>
              </w:rPr>
              <w:t>in the presence of:</w:t>
            </w:r>
          </w:p>
          <w:p>
            <w:pPr>
              <w:pStyle w:val="yTableNAm"/>
              <w:spacing w:before="0"/>
              <w:jc w:val="both"/>
              <w:rPr>
                <w:szCs w:val="24"/>
              </w:rPr>
            </w:pPr>
          </w:p>
          <w:p>
            <w:pPr>
              <w:pStyle w:val="yTableNAm"/>
              <w:tabs>
                <w:tab w:val="clear" w:pos="567"/>
                <w:tab w:val="left" w:leader="underscore" w:pos="3369"/>
              </w:tabs>
              <w:spacing w:before="0"/>
              <w:jc w:val="both"/>
              <w:rPr>
                <w:szCs w:val="24"/>
              </w:rPr>
            </w:pPr>
          </w:p>
          <w:p>
            <w:pPr>
              <w:pStyle w:val="yTableNAm"/>
              <w:tabs>
                <w:tab w:val="clear" w:pos="567"/>
                <w:tab w:val="right" w:leader="underscore" w:pos="3432"/>
              </w:tabs>
              <w:spacing w:before="0"/>
              <w:jc w:val="both"/>
              <w:rPr>
                <w:szCs w:val="24"/>
              </w:rPr>
            </w:pPr>
            <w:r>
              <w:rPr>
                <w:szCs w:val="24"/>
              </w:rPr>
              <w:t>[Signature]</w:t>
            </w:r>
          </w:p>
          <w:p>
            <w:pPr>
              <w:pStyle w:val="yTableNAm"/>
              <w:tabs>
                <w:tab w:val="clear" w:pos="567"/>
                <w:tab w:val="right" w:leader="underscore" w:pos="3432"/>
              </w:tabs>
              <w:spacing w:before="0"/>
              <w:jc w:val="both"/>
              <w:rPr>
                <w:szCs w:val="24"/>
              </w:rPr>
            </w:pPr>
            <w:r>
              <w:rPr>
                <w:szCs w:val="24"/>
              </w:rPr>
              <w:t>______________________________</w:t>
            </w:r>
          </w:p>
          <w:p>
            <w:pPr>
              <w:pStyle w:val="yTableNAm"/>
              <w:spacing w:before="0"/>
              <w:rPr>
                <w:szCs w:val="24"/>
              </w:rPr>
            </w:pPr>
            <w:r>
              <w:rPr>
                <w:szCs w:val="24"/>
              </w:rPr>
              <w:t>Signature of witness</w:t>
            </w:r>
          </w:p>
          <w:p>
            <w:pPr>
              <w:pStyle w:val="yTableNAm"/>
              <w:spacing w:before="0"/>
              <w:rPr>
                <w:szCs w:val="24"/>
              </w:rPr>
            </w:pPr>
          </w:p>
          <w:p>
            <w:pPr>
              <w:pStyle w:val="yTableNAm"/>
              <w:spacing w:before="0"/>
              <w:rPr>
                <w:szCs w:val="24"/>
              </w:rPr>
            </w:pPr>
          </w:p>
          <w:p>
            <w:pPr>
              <w:pStyle w:val="yTableNAm"/>
              <w:spacing w:before="0"/>
              <w:rPr>
                <w:szCs w:val="24"/>
                <w:u w:val="single"/>
              </w:rPr>
            </w:pPr>
            <w:r>
              <w:rPr>
                <w:szCs w:val="24"/>
                <w:u w:val="single"/>
              </w:rPr>
              <w:t>NADEEN LYN ROBERTS               </w:t>
            </w:r>
          </w:p>
          <w:p>
            <w:pPr>
              <w:pStyle w:val="yTableNAm"/>
              <w:spacing w:before="0"/>
              <w:jc w:val="both"/>
              <w:rPr>
                <w:szCs w:val="24"/>
              </w:rPr>
            </w:pPr>
            <w:r>
              <w:rPr>
                <w:szCs w:val="24"/>
              </w:rPr>
              <w:t>Name of witness (block letters)</w:t>
            </w:r>
          </w:p>
          <w:p>
            <w:pPr>
              <w:pStyle w:val="yTableNAm"/>
              <w:spacing w:before="0"/>
              <w:rPr>
                <w:szCs w:val="24"/>
              </w:rPr>
            </w:pPr>
          </w:p>
        </w:tc>
        <w:tc>
          <w:tcPr>
            <w:tcW w:w="266" w:type="dxa"/>
            <w:noWrap/>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112" w:type="dxa"/>
            <w:noWrap/>
          </w:tcPr>
          <w:p>
            <w:pPr>
              <w:pStyle w:val="yTableNAm"/>
              <w:spacing w:before="0"/>
              <w:rPr>
                <w:szCs w:val="24"/>
              </w:rPr>
            </w:pPr>
          </w:p>
          <w:p>
            <w:pPr>
              <w:pStyle w:val="yTableNAm"/>
              <w:spacing w:before="0"/>
              <w:rPr>
                <w:szCs w:val="24"/>
              </w:rPr>
            </w:pPr>
          </w:p>
          <w:p>
            <w:pPr>
              <w:pStyle w:val="yTableNAm"/>
              <w:tabs>
                <w:tab w:val="clear" w:pos="567"/>
                <w:tab w:val="right" w:leader="underscore" w:pos="3432"/>
              </w:tabs>
              <w:spacing w:before="0"/>
              <w:jc w:val="both"/>
              <w:rPr>
                <w:szCs w:val="24"/>
              </w:rPr>
            </w:pPr>
            <w:r>
              <w:rPr>
                <w:szCs w:val="24"/>
              </w:rPr>
              <w:t xml:space="preserve">        [Signature]</w:t>
            </w:r>
          </w:p>
          <w:p>
            <w:pPr>
              <w:pStyle w:val="yTableNAm"/>
              <w:spacing w:before="0"/>
              <w:rPr>
                <w:szCs w:val="24"/>
              </w:rPr>
            </w:pPr>
          </w:p>
        </w:tc>
      </w:tr>
      <w:tr>
        <w:tblPrEx>
          <w:tblCellMar>
            <w:left w:w="107" w:type="dxa"/>
            <w:right w:w="107" w:type="dxa"/>
          </w:tblCellMar>
        </w:tblPrEx>
        <w:trPr>
          <w:cantSplit/>
        </w:trPr>
        <w:tc>
          <w:tcPr>
            <w:tcW w:w="3668" w:type="dxa"/>
            <w:noWrap/>
          </w:tcPr>
          <w:p>
            <w:pPr>
              <w:pStyle w:val="yTableNAm"/>
              <w:spacing w:before="0"/>
              <w:jc w:val="both"/>
            </w:pPr>
            <w:r>
              <w:rPr>
                <w:b/>
              </w:rPr>
              <w:lastRenderedPageBreak/>
              <w:t>EXECUTED</w:t>
            </w:r>
            <w:r>
              <w:t xml:space="preserve"> for and on behalf of</w:t>
            </w:r>
            <w:r>
              <w:rPr>
                <w:b/>
              </w:rPr>
              <w:t xml:space="preserve"> THE GRIFFIN COAL MINING COMPANY PTY LIMITED (RECEIVERS AND MANAGERS APPOINTED) (IN LIQUIDATION) </w:t>
            </w:r>
            <w:r>
              <w:t>by its joint and several receiver and manager in the presence of:</w:t>
            </w:r>
          </w:p>
          <w:p>
            <w:pPr>
              <w:pStyle w:val="yTableNAm"/>
              <w:spacing w:before="0"/>
              <w:rPr>
                <w:szCs w:val="24"/>
              </w:rPr>
            </w:pPr>
          </w:p>
          <w:p>
            <w:pPr>
              <w:pStyle w:val="yTableNAm"/>
              <w:spacing w:before="0"/>
              <w:rPr>
                <w:szCs w:val="24"/>
              </w:rPr>
            </w:pPr>
          </w:p>
          <w:p>
            <w:pPr>
              <w:pStyle w:val="yTableNAm"/>
              <w:tabs>
                <w:tab w:val="clear" w:pos="567"/>
                <w:tab w:val="right" w:leader="underscore" w:pos="3432"/>
              </w:tabs>
              <w:spacing w:before="0"/>
              <w:jc w:val="both"/>
              <w:rPr>
                <w:szCs w:val="24"/>
              </w:rPr>
            </w:pPr>
            <w:r>
              <w:rPr>
                <w:szCs w:val="24"/>
              </w:rPr>
              <w:t>[Signature]</w:t>
            </w:r>
          </w:p>
          <w:p>
            <w:pPr>
              <w:pStyle w:val="yTableNAm"/>
              <w:tabs>
                <w:tab w:val="clear" w:pos="567"/>
                <w:tab w:val="right" w:leader="underscore" w:pos="3432"/>
              </w:tabs>
              <w:spacing w:before="0"/>
              <w:jc w:val="both"/>
              <w:rPr>
                <w:szCs w:val="24"/>
              </w:rPr>
            </w:pPr>
            <w:r>
              <w:rPr>
                <w:szCs w:val="24"/>
              </w:rPr>
              <w:t>______________________________</w:t>
            </w:r>
          </w:p>
          <w:p>
            <w:pPr>
              <w:pStyle w:val="yTableNAm"/>
              <w:spacing w:before="0"/>
              <w:rPr>
                <w:szCs w:val="24"/>
              </w:rPr>
            </w:pPr>
            <w:r>
              <w:rPr>
                <w:szCs w:val="24"/>
              </w:rPr>
              <w:t>Signature of witness</w:t>
            </w:r>
          </w:p>
          <w:p>
            <w:pPr>
              <w:pStyle w:val="yTableNAm"/>
              <w:spacing w:before="0"/>
              <w:rPr>
                <w:szCs w:val="24"/>
              </w:rPr>
            </w:pPr>
          </w:p>
          <w:p>
            <w:pPr>
              <w:pStyle w:val="yTableNAm"/>
              <w:spacing w:before="0"/>
              <w:rPr>
                <w:szCs w:val="24"/>
              </w:rPr>
            </w:pPr>
          </w:p>
          <w:p>
            <w:pPr>
              <w:pStyle w:val="yTableNAm"/>
              <w:spacing w:before="0"/>
              <w:rPr>
                <w:szCs w:val="24"/>
              </w:rPr>
            </w:pPr>
          </w:p>
          <w:p>
            <w:pPr>
              <w:pStyle w:val="yTableNAm"/>
              <w:spacing w:before="0"/>
              <w:rPr>
                <w:szCs w:val="24"/>
                <w:u w:val="single"/>
              </w:rPr>
            </w:pPr>
            <w:r>
              <w:rPr>
                <w:szCs w:val="24"/>
                <w:u w:val="single"/>
              </w:rPr>
              <w:t>SEAN HOLMES                                </w:t>
            </w:r>
          </w:p>
          <w:p>
            <w:pPr>
              <w:pStyle w:val="yTableNAm"/>
              <w:spacing w:before="0"/>
              <w:jc w:val="both"/>
              <w:rPr>
                <w:szCs w:val="24"/>
              </w:rPr>
            </w:pPr>
            <w:r>
              <w:rPr>
                <w:szCs w:val="24"/>
              </w:rPr>
              <w:t>Full name of witness (block letters)</w:t>
            </w:r>
          </w:p>
          <w:p>
            <w:pPr>
              <w:pStyle w:val="yTableNAm"/>
              <w:spacing w:before="0"/>
              <w:jc w:val="both"/>
            </w:pPr>
          </w:p>
          <w:p>
            <w:pPr>
              <w:pStyle w:val="yTableNAm"/>
              <w:spacing w:before="0"/>
              <w:jc w:val="both"/>
            </w:pPr>
          </w:p>
        </w:tc>
        <w:tc>
          <w:tcPr>
            <w:tcW w:w="266" w:type="dxa"/>
            <w:noWrap/>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tc>
        <w:tc>
          <w:tcPr>
            <w:tcW w:w="3112" w:type="dxa"/>
            <w:noWrap/>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pPr>
          </w:p>
          <w:p>
            <w:pPr>
              <w:pStyle w:val="yTableNAm"/>
              <w:spacing w:before="0"/>
              <w:rPr>
                <w:szCs w:val="24"/>
              </w:rPr>
            </w:pPr>
          </w:p>
          <w:p>
            <w:pPr>
              <w:pStyle w:val="yTableNAm"/>
              <w:spacing w:before="0"/>
              <w:rPr>
                <w:szCs w:val="24"/>
              </w:rPr>
            </w:pPr>
          </w:p>
          <w:p>
            <w:pPr>
              <w:pStyle w:val="yTableNAm"/>
              <w:spacing w:before="0"/>
              <w:rPr>
                <w:szCs w:val="24"/>
              </w:rPr>
            </w:pPr>
          </w:p>
          <w:p>
            <w:pPr>
              <w:pStyle w:val="yTableNAm"/>
              <w:spacing w:before="0"/>
              <w:rPr>
                <w:szCs w:val="24"/>
              </w:rPr>
            </w:pPr>
            <w:r>
              <w:rPr>
                <w:szCs w:val="24"/>
              </w:rPr>
              <w:t>[Signature]</w:t>
            </w:r>
          </w:p>
          <w:p>
            <w:pPr>
              <w:pStyle w:val="yTableNAm"/>
              <w:tabs>
                <w:tab w:val="clear" w:pos="567"/>
                <w:tab w:val="left" w:leader="underscore" w:pos="3369"/>
              </w:tabs>
              <w:spacing w:before="0"/>
              <w:jc w:val="both"/>
              <w:rPr>
                <w:szCs w:val="24"/>
              </w:rPr>
            </w:pPr>
            <w:r>
              <w:rPr>
                <w:szCs w:val="24"/>
              </w:rPr>
              <w:t>__________________________</w:t>
            </w:r>
          </w:p>
          <w:p>
            <w:pPr>
              <w:pStyle w:val="yTableNAm"/>
              <w:spacing w:before="0"/>
              <w:rPr>
                <w:szCs w:val="24"/>
              </w:rPr>
            </w:pPr>
            <w:r>
              <w:rPr>
                <w:szCs w:val="24"/>
              </w:rPr>
              <w:t>Signature of receiver and manager</w:t>
            </w:r>
          </w:p>
          <w:p>
            <w:pPr>
              <w:pStyle w:val="yTableNAm"/>
              <w:spacing w:before="0"/>
              <w:rPr>
                <w:szCs w:val="24"/>
              </w:rPr>
            </w:pPr>
          </w:p>
          <w:p>
            <w:pPr>
              <w:pStyle w:val="yTableNAm"/>
              <w:spacing w:before="0"/>
              <w:rPr>
                <w:szCs w:val="24"/>
              </w:rPr>
            </w:pPr>
          </w:p>
          <w:p>
            <w:pPr>
              <w:pStyle w:val="yTableNAm"/>
              <w:spacing w:before="0"/>
              <w:rPr>
                <w:szCs w:val="24"/>
                <w:u w:val="single"/>
              </w:rPr>
            </w:pPr>
            <w:r>
              <w:rPr>
                <w:szCs w:val="24"/>
                <w:u w:val="single"/>
              </w:rPr>
              <w:t>MATTHEW J DONNELLY      </w:t>
            </w:r>
          </w:p>
          <w:p>
            <w:pPr>
              <w:pStyle w:val="yTableNAm"/>
              <w:spacing w:before="0"/>
              <w:jc w:val="both"/>
            </w:pPr>
            <w:r>
              <w:rPr>
                <w:szCs w:val="24"/>
              </w:rPr>
              <w:t>Name of receiver and manager (block letters)</w:t>
            </w:r>
          </w:p>
        </w:tc>
      </w:tr>
    </w:tbl>
    <w:p>
      <w:pPr>
        <w:pStyle w:val="yFootnotesection"/>
      </w:pPr>
      <w:r>
        <w:tab/>
        <w:t>[Schedule 2 inserted: No. 14 of 2023 s.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23" w:name="_Toc138689465"/>
      <w:bookmarkStart w:id="24" w:name="_Toc138690391"/>
      <w:bookmarkStart w:id="25" w:name="_Toc138748416"/>
      <w:r>
        <w:lastRenderedPageBreak/>
        <w:t>Notes</w:t>
      </w:r>
      <w:bookmarkEnd w:id="23"/>
      <w:bookmarkEnd w:id="24"/>
      <w:bookmarkEnd w:id="25"/>
    </w:p>
    <w:p>
      <w:pPr>
        <w:pStyle w:val="nStatement"/>
      </w:pPr>
      <w:r>
        <w:t xml:space="preserve">This is a compilation of the </w:t>
      </w:r>
      <w:r>
        <w:rPr>
          <w:i/>
          <w:noProof/>
        </w:rPr>
        <w:t>Collie Coal (Griffin) Agreement Act 1979</w:t>
      </w:r>
      <w:r>
        <w:t xml:space="preserve"> and includes amendments made by other written laws. For provisions that have come into operation, and for information about any reprints, see the compilation table.</w:t>
      </w:r>
    </w:p>
    <w:p>
      <w:pPr>
        <w:pStyle w:val="nHeading3"/>
      </w:pPr>
      <w:bookmarkStart w:id="26" w:name="_Toc138748417"/>
      <w:r>
        <w:t>Compilation table</w:t>
      </w:r>
      <w:bookmarkEnd w:id="26"/>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1"/>
        <w:gridCol w:w="23"/>
        <w:gridCol w:w="1114"/>
        <w:gridCol w:w="19"/>
        <w:gridCol w:w="1114"/>
        <w:gridCol w:w="18"/>
        <w:gridCol w:w="2531"/>
        <w:gridCol w:w="27"/>
      </w:tblGrid>
      <w:tr>
        <w:trPr>
          <w:gridAfter w:val="1"/>
          <w:wAfter w:w="27" w:type="dxa"/>
          <w:tblHeader/>
        </w:trPr>
        <w:tc>
          <w:tcPr>
            <w:tcW w:w="2271" w:type="dxa"/>
            <w:gridSpan w:val="2"/>
          </w:tcPr>
          <w:p>
            <w:pPr>
              <w:pStyle w:val="nTable"/>
              <w:spacing w:after="40"/>
              <w:rPr>
                <w:b/>
              </w:rPr>
            </w:pPr>
            <w:r>
              <w:rPr>
                <w:b/>
              </w:rPr>
              <w:t>Short title</w:t>
            </w:r>
          </w:p>
        </w:tc>
        <w:tc>
          <w:tcPr>
            <w:tcW w:w="1133"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0"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before="80"/>
            </w:pPr>
            <w:r>
              <w:rPr>
                <w:i/>
              </w:rPr>
              <w:t>Collie Coal (Griffin) Agreement Act 1979</w:t>
            </w:r>
          </w:p>
        </w:tc>
        <w:tc>
          <w:tcPr>
            <w:tcW w:w="1134" w:type="dxa"/>
            <w:gridSpan w:val="2"/>
            <w:tcBorders>
              <w:top w:val="nil"/>
              <w:bottom w:val="nil"/>
            </w:tcBorders>
          </w:tcPr>
          <w:p>
            <w:pPr>
              <w:pStyle w:val="nTable"/>
              <w:spacing w:before="80"/>
            </w:pPr>
            <w:r>
              <w:t>82 of 1979</w:t>
            </w:r>
          </w:p>
        </w:tc>
        <w:tc>
          <w:tcPr>
            <w:tcW w:w="1133" w:type="dxa"/>
            <w:gridSpan w:val="2"/>
            <w:tcBorders>
              <w:top w:val="nil"/>
              <w:bottom w:val="nil"/>
            </w:tcBorders>
          </w:tcPr>
          <w:p>
            <w:pPr>
              <w:pStyle w:val="nTable"/>
              <w:spacing w:before="80"/>
            </w:pPr>
            <w:r>
              <w:t>11 Dec 1979</w:t>
            </w:r>
          </w:p>
        </w:tc>
        <w:tc>
          <w:tcPr>
            <w:tcW w:w="2554" w:type="dxa"/>
            <w:gridSpan w:val="2"/>
            <w:tcBorders>
              <w:top w:val="nil"/>
              <w:bottom w:val="nil"/>
            </w:tcBorders>
          </w:tcPr>
          <w:p>
            <w:pPr>
              <w:pStyle w:val="nTable"/>
              <w:spacing w:before="80"/>
            </w:pPr>
            <w:r>
              <w:t>11 Dec 1979</w:t>
            </w:r>
          </w:p>
        </w:tc>
      </w:tr>
      <w:tr>
        <w:tblPrEx>
          <w:tblBorders>
            <w:top w:val="single" w:sz="4" w:space="0" w:color="auto"/>
            <w:bottom w:val="single" w:sz="4" w:space="0" w:color="auto"/>
            <w:insideH w:val="single" w:sz="4" w:space="0" w:color="auto"/>
          </w:tblBorders>
        </w:tblPrEx>
        <w:trPr>
          <w:gridBefore w:val="1"/>
          <w:wBefore w:w="28" w:type="dxa"/>
          <w:cantSplit/>
        </w:trPr>
        <w:tc>
          <w:tcPr>
            <w:tcW w:w="7087" w:type="dxa"/>
            <w:gridSpan w:val="8"/>
            <w:tcBorders>
              <w:top w:val="nil"/>
              <w:bottom w:val="nil"/>
            </w:tcBorders>
          </w:tcPr>
          <w:p>
            <w:pPr>
              <w:pStyle w:val="nTable"/>
              <w:spacing w:before="80"/>
              <w:rPr>
                <w:b/>
              </w:rPr>
            </w:pPr>
            <w:r>
              <w:rPr>
                <w:b/>
              </w:rPr>
              <w:t xml:space="preserve">Reprint of the </w:t>
            </w:r>
            <w:r>
              <w:rPr>
                <w:b/>
                <w:i/>
              </w:rPr>
              <w:t>Collie Coal (Griffin) Agreement Act 1979</w:t>
            </w:r>
            <w:r>
              <w:rPr>
                <w:b/>
              </w:rPr>
              <w:t xml:space="preserve"> as at 8 Nov 2002</w:t>
            </w:r>
          </w:p>
        </w:tc>
      </w:tr>
      <w:tr>
        <w:trPr>
          <w:gridBefore w:val="1"/>
          <w:gridAfter w:val="1"/>
          <w:wBefore w:w="28" w:type="dxa"/>
          <w:wAfter w:w="21" w:type="dxa"/>
          <w:cantSplit/>
        </w:trPr>
        <w:tc>
          <w:tcPr>
            <w:tcW w:w="2243"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top w:val="nil"/>
              <w:bottom w:val="nil"/>
            </w:tcBorders>
          </w:tcPr>
          <w:p>
            <w:pPr>
              <w:pStyle w:val="nTable"/>
              <w:spacing w:after="40"/>
              <w:rPr>
                <w:snapToGrid w:val="0"/>
              </w:rPr>
            </w:pPr>
            <w:r>
              <w:rPr>
                <w:snapToGrid w:val="0"/>
              </w:rPr>
              <w:t>19 of 2010</w:t>
            </w:r>
          </w:p>
        </w:tc>
        <w:tc>
          <w:tcPr>
            <w:tcW w:w="1134" w:type="dxa"/>
            <w:gridSpan w:val="2"/>
            <w:tcBorders>
              <w:top w:val="nil"/>
              <w:bottom w:val="nil"/>
            </w:tcBorders>
          </w:tcPr>
          <w:p>
            <w:pPr>
              <w:pStyle w:val="nTable"/>
              <w:spacing w:after="40"/>
              <w:rPr>
                <w:snapToGrid w:val="0"/>
              </w:rPr>
            </w:pPr>
            <w:r>
              <w:rPr>
                <w:snapToGrid w:val="0"/>
              </w:rPr>
              <w:t>28 Jun 2010</w:t>
            </w:r>
          </w:p>
        </w:tc>
        <w:tc>
          <w:tcPr>
            <w:tcW w:w="2551"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21" w:type="dxa"/>
          <w:cantSplit/>
        </w:trPr>
        <w:tc>
          <w:tcPr>
            <w:tcW w:w="2243" w:type="dxa"/>
            <w:tcBorders>
              <w:bottom w:val="single" w:sz="4" w:space="0" w:color="auto"/>
            </w:tcBorders>
          </w:tcPr>
          <w:p>
            <w:pPr>
              <w:pStyle w:val="nTable"/>
              <w:spacing w:after="40"/>
              <w:ind w:right="113"/>
              <w:rPr>
                <w:i/>
                <w:snapToGrid w:val="0"/>
              </w:rPr>
            </w:pPr>
            <w:r>
              <w:rPr>
                <w:i/>
              </w:rPr>
              <w:t>Collie Coal (Griffin) Agreement Amendment Act 2023</w:t>
            </w:r>
          </w:p>
        </w:tc>
        <w:tc>
          <w:tcPr>
            <w:tcW w:w="1138" w:type="dxa"/>
            <w:gridSpan w:val="2"/>
            <w:tcBorders>
              <w:bottom w:val="single" w:sz="4" w:space="0" w:color="auto"/>
            </w:tcBorders>
          </w:tcPr>
          <w:p>
            <w:pPr>
              <w:pStyle w:val="nTable"/>
              <w:spacing w:after="40"/>
              <w:rPr>
                <w:snapToGrid w:val="0"/>
              </w:rPr>
            </w:pPr>
            <w:r>
              <w:rPr>
                <w:snapToGrid w:val="0"/>
              </w:rPr>
              <w:t>14 of 2023</w:t>
            </w:r>
          </w:p>
        </w:tc>
        <w:tc>
          <w:tcPr>
            <w:tcW w:w="1134" w:type="dxa"/>
            <w:gridSpan w:val="2"/>
            <w:tcBorders>
              <w:bottom w:val="single" w:sz="4" w:space="0" w:color="auto"/>
            </w:tcBorders>
          </w:tcPr>
          <w:p>
            <w:pPr>
              <w:pStyle w:val="nTable"/>
              <w:spacing w:after="40"/>
              <w:rPr>
                <w:snapToGrid w:val="0"/>
              </w:rPr>
            </w:pPr>
            <w:r>
              <w:rPr>
                <w:snapToGrid w:val="0"/>
              </w:rPr>
              <w:t>26 Jun 2023</w:t>
            </w:r>
          </w:p>
        </w:tc>
        <w:tc>
          <w:tcPr>
            <w:tcW w:w="2551" w:type="dxa"/>
            <w:gridSpan w:val="2"/>
            <w:tcBorders>
              <w:bottom w:val="single" w:sz="4" w:space="0" w:color="auto"/>
            </w:tcBorders>
          </w:tcPr>
          <w:p>
            <w:pPr>
              <w:pStyle w:val="nTable"/>
              <w:spacing w:after="40"/>
              <w:rPr>
                <w:snapToGrid w:val="0"/>
              </w:rPr>
            </w:pPr>
            <w:r>
              <w:rPr>
                <w:snapToGrid w:val="0"/>
              </w:rPr>
              <w:t>s. 1 and 2: 26 Jun 2023 (see s. 2(a));</w:t>
            </w:r>
          </w:p>
          <w:p>
            <w:pPr>
              <w:pStyle w:val="nTable"/>
              <w:spacing w:after="40"/>
              <w:rPr>
                <w:snapToGrid w:val="0"/>
              </w:rPr>
            </w:pPr>
            <w:r>
              <w:rPr>
                <w:snapToGrid w:val="0"/>
              </w:rPr>
              <w:t>Act other than s. 1 and 2: 27 Jun 2023 (see s. 2(b))</w:t>
            </w:r>
          </w:p>
        </w:tc>
      </w:tr>
    </w:tbl>
    <w:p>
      <w:pPr>
        <w:pStyle w:val="nHeading3"/>
      </w:pPr>
      <w:bookmarkStart w:id="27" w:name="_Toc138748418"/>
      <w:r>
        <w:t>Other notes</w:t>
      </w:r>
      <w:bookmarkEnd w:id="27"/>
    </w:p>
    <w:p>
      <w:pPr>
        <w:pStyle w:val="nNote"/>
      </w:pPr>
      <w:r>
        <w:rPr>
          <w:vertAlign w:val="superscript"/>
        </w:rPr>
        <w:t>1</w:t>
      </w:r>
      <w:r>
        <w:tab/>
        <w:t>Marginal notes in the agreement have been represented as bold headnotes in this reprint but that does not change their status as marginal notes.</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9" w:name="_Toc138748419"/>
      <w:r>
        <w:rPr>
          <w:sz w:val="28"/>
        </w:rPr>
        <w:lastRenderedPageBreak/>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variation agreement</w:t>
      </w:r>
      <w:r>
        <w:tab/>
        <w:t>2</w:t>
      </w:r>
    </w:p>
    <w:p>
      <w:pPr>
        <w:pStyle w:val="DefinedTerms"/>
      </w:pPr>
      <w:r>
        <w:t>Agreement</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E41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2CC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D689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0E9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4C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BE33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8A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60C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9EC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9A0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84C06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61147"/>
    <w:docVar w:name="WAFER_20131217135150" w:val="RemoveTocBookmarks,RemoveUnusedBookmarks,RemoveLanguageTags,UsedStyles,ResetPageSize,UpdateArrangement"/>
    <w:docVar w:name="WAFER_20131217135150_GUID" w:val="4da4ba28-5d7a-413b-bdd9-c4a3c2f60ca2"/>
    <w:docVar w:name="WAFER_20150401142609" w:val="ResetPageSize,UpdateArrangement,UpdateNTable"/>
    <w:docVar w:name="WAFER_20150401142609_GUID" w:val="5e36920d-12e5-4863-b63d-c8a8e75fda22"/>
    <w:docVar w:name="WAFER_20151102152927" w:val="UpdateStyles,UsedStyles"/>
    <w:docVar w:name="WAFER_20151102152927_GUID" w:val="b195e5f5-79b1-499b-af37-a3d03a8cb8d6"/>
    <w:docVar w:name="WAFER_20151201084647" w:val="RemoveTrackChanges"/>
    <w:docVar w:name="WAFER_20151201084647_GUID" w:val="78409e8e-26a1-4646-af2d-abc0f4b25896"/>
    <w:docVar w:name="WAFER_202306261611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6161147_GUID" w:val="15f991a6-4222-45e8-a719-b974bb919b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112CA2-1046-4DA4-8C4B-952BFD3F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13933</Words>
  <Characters>68276</Characters>
  <Application>Microsoft Office Word</Application>
  <DocSecurity>0</DocSecurity>
  <Lines>1517</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1979 - 01-d0-01</dc:title>
  <dc:subject/>
  <dc:creator/>
  <cp:keywords/>
  <dc:description/>
  <cp:lastModifiedBy>Master Repository Process</cp:lastModifiedBy>
  <cp:revision>4</cp:revision>
  <cp:lastPrinted>2002-11-06T08:08:00Z</cp:lastPrinted>
  <dcterms:created xsi:type="dcterms:W3CDTF">2023-06-27T01:55:00Z</dcterms:created>
  <dcterms:modified xsi:type="dcterms:W3CDTF">2023-06-27T01:55:00Z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OWLSUId">
    <vt:i4>144</vt:i4>
  </property>
  <property fmtid="{D5CDD505-2E9C-101B-9397-08002B2CF9AE}" pid="4" name="DocumentType">
    <vt:lpwstr>Act</vt:lpwstr>
  </property>
  <property fmtid="{D5CDD505-2E9C-101B-9397-08002B2CF9AE}" pid="5" name="AsAtDate">
    <vt:lpwstr>27 Jun 2023</vt:lpwstr>
  </property>
  <property fmtid="{D5CDD505-2E9C-101B-9397-08002B2CF9AE}" pid="6" name="Suffix">
    <vt:lpwstr>01-d0-01</vt:lpwstr>
  </property>
  <property fmtid="{D5CDD505-2E9C-101B-9397-08002B2CF9AE}" pid="7" name="CommencementDate">
    <vt:lpwstr>20230627</vt:lpwstr>
  </property>
</Properties>
</file>