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_Toc171757982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_Toc171757983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_Toc171757984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_Toc171757985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_Toc171757986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_Toc171757987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_Toc171757988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_Toc171757989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_Toc171757990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_Toc171757991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_Toc171757992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_Toc171757993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_Toc171757994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_Toc171757995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_Toc171757996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_Toc171757997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_Toc171757998 \h </w:instrText>
      </w:r>
      <w:r>
        <w:fldChar w:fldCharType="separate"/>
      </w:r>
      <w:r>
        <w:t>11</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_Toc171757999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_Toc171758000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_Toc171758001 \h </w:instrText>
      </w:r>
      <w:r>
        <w:fldChar w:fldCharType="separate"/>
      </w:r>
      <w:r>
        <w:t>13</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_Toc171758002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_Toc171758003 \h </w:instrText>
      </w:r>
      <w:r>
        <w:fldChar w:fldCharType="separate"/>
      </w:r>
      <w:r>
        <w:t>15</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_Toc171758004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_Toc171758005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_Toc171758006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_Toc171758007 \h </w:instrText>
      </w:r>
      <w:r>
        <w:fldChar w:fldCharType="separate"/>
      </w:r>
      <w:r>
        <w:t>17</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_Toc171758008 \h </w:instrText>
      </w:r>
      <w:r>
        <w:fldChar w:fldCharType="separate"/>
      </w:r>
      <w:r>
        <w:t>17</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_Toc171758009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_Toc171758010 \h </w:instrText>
      </w:r>
      <w:r>
        <w:fldChar w:fldCharType="separate"/>
      </w:r>
      <w:r>
        <w:t>18</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_Toc171758011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_Toc171758012 \h </w:instrText>
      </w:r>
      <w:r>
        <w:fldChar w:fldCharType="separate"/>
      </w:r>
      <w:r>
        <w:t>19</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_Toc171758013 \h </w:instrText>
      </w:r>
      <w:r>
        <w:fldChar w:fldCharType="separate"/>
      </w:r>
      <w:r>
        <w:t>19</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_Toc171758014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_Toc171758015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_Toc171758016 \h </w:instrText>
      </w:r>
      <w:r>
        <w:fldChar w:fldCharType="separate"/>
      </w:r>
      <w:r>
        <w:t>21</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_Toc171758017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_Toc171758018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_Toc171758019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_Toc171758020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_Toc171758021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_Toc171758022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_Toc171758023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_Toc171758024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_Toc171758025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_Toc171758026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_Toc171758027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_Toc171758028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_Toc171758029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_Toc171758030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_Toc171758031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_Toc171758032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_Toc171758033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_Toc171758034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_Toc171758035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_Toc171758036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_Toc171758037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_Toc171758038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_Toc171758039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_Toc171758040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_Toc171758041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_Toc171758042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_Toc171758043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_Toc171758044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_Toc171758045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_Toc171758046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_Toc171758047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_Toc171758048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_Toc171758049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_Toc171758050 \h </w:instrText>
      </w:r>
      <w:r>
        <w:fldChar w:fldCharType="separate"/>
      </w:r>
      <w:r>
        <w:t>39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_Toc171758066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171757982"/>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171757983"/>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171757984"/>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171757985"/>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17" w:name="_Toc11834751"/>
      <w:bookmarkStart w:id="18" w:name="_Toc39303407"/>
      <w:bookmarkStart w:id="19" w:name="_Toc139171616"/>
      <w:bookmarkStart w:id="20" w:name="_Toc171757986"/>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1" w:name="_Toc11834752"/>
      <w:bookmarkStart w:id="22" w:name="_Toc39303408"/>
      <w:bookmarkStart w:id="23" w:name="_Toc139171617"/>
      <w:bookmarkStart w:id="24" w:name="_Toc171757987"/>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171757988"/>
      <w:r>
        <w:rPr>
          <w:rStyle w:val="CharSectno"/>
        </w:rPr>
        <w:t>7</w:t>
      </w:r>
      <w:r>
        <w:rPr>
          <w:snapToGrid w:val="0"/>
        </w:rPr>
        <w:t>.</w:t>
      </w:r>
      <w:r>
        <w:rPr>
          <w:snapToGrid w:val="0"/>
        </w:rPr>
        <w:tab/>
        <w:t>Signals on dredgers</w:t>
      </w:r>
      <w:bookmarkEnd w:id="25"/>
      <w:bookmarkEnd w:id="26"/>
      <w:bookmarkEnd w:id="27"/>
      <w:bookmarkEnd w:id="28"/>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171757989"/>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33" w:name="_Toc11834755"/>
      <w:bookmarkStart w:id="34" w:name="_Toc39303411"/>
      <w:bookmarkStart w:id="35" w:name="_Toc139171620"/>
      <w:bookmarkStart w:id="36" w:name="_Toc171757990"/>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171757991"/>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171757992"/>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171757993"/>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171757994"/>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171757995"/>
      <w:r>
        <w:rPr>
          <w:rStyle w:val="CharSectno"/>
        </w:rPr>
        <w:t>14</w:t>
      </w:r>
      <w:r>
        <w:rPr>
          <w:snapToGrid w:val="0"/>
        </w:rPr>
        <w:t>.</w:t>
      </w:r>
      <w:r>
        <w:rPr>
          <w:snapToGrid w:val="0"/>
        </w:rPr>
        <w:tab/>
        <w:t>Movement of vessels within a port</w:t>
      </w:r>
      <w:bookmarkEnd w:id="53"/>
      <w:bookmarkEnd w:id="54"/>
      <w:bookmarkEnd w:id="55"/>
      <w:bookmarkEnd w:id="56"/>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$4 402.60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w:t>
      </w:r>
    </w:p>
    <w:p>
      <w:pPr>
        <w:pStyle w:val="Heading5"/>
        <w:rPr>
          <w:snapToGrid w:val="0"/>
        </w:rPr>
      </w:pPr>
      <w:bookmarkStart w:id="57" w:name="_Toc11834761"/>
      <w:bookmarkStart w:id="58" w:name="_Toc39303417"/>
      <w:bookmarkStart w:id="59" w:name="_Toc139171626"/>
      <w:bookmarkStart w:id="60" w:name="_Toc171757996"/>
      <w:r>
        <w:rPr>
          <w:rStyle w:val="CharSectno"/>
        </w:rPr>
        <w:t>15</w:t>
      </w:r>
      <w:r>
        <w:rPr>
          <w:snapToGrid w:val="0"/>
        </w:rPr>
        <w:t>.</w:t>
      </w:r>
      <w:r>
        <w:rPr>
          <w:snapToGrid w:val="0"/>
        </w:rPr>
        <w:tab/>
        <w:t>Charge for pilotage</w:t>
      </w:r>
      <w:bookmarkEnd w:id="57"/>
      <w:bookmarkEnd w:id="58"/>
      <w:bookmarkEnd w:id="59"/>
      <w:bookmarkEnd w:id="6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$724.53,</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w:t>
      </w:r>
    </w:p>
    <w:p>
      <w:pPr>
        <w:pStyle w:val="Heading5"/>
        <w:rPr>
          <w:snapToGrid w:val="0"/>
        </w:rPr>
      </w:pPr>
      <w:bookmarkStart w:id="61" w:name="_Toc11834762"/>
      <w:bookmarkStart w:id="62" w:name="_Toc39303418"/>
      <w:bookmarkStart w:id="63" w:name="_Toc139171627"/>
      <w:bookmarkStart w:id="64" w:name="_Toc171757997"/>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$721.82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$721.82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$857.00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w:t>
      </w:r>
    </w:p>
    <w:p>
      <w:pPr>
        <w:pStyle w:val="Heading5"/>
        <w:rPr>
          <w:snapToGrid w:val="0"/>
        </w:rPr>
      </w:pPr>
      <w:bookmarkStart w:id="65" w:name="_Toc11834763"/>
      <w:bookmarkStart w:id="66" w:name="_Toc39303419"/>
      <w:bookmarkStart w:id="67" w:name="_Toc139171628"/>
      <w:bookmarkStart w:id="68" w:name="_Toc171757998"/>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$343.34 in respect of each hour or portion of an hour for which the launch is so used, except during overtime hours when the charge payable shall be $492.04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w:t>
      </w:r>
    </w:p>
    <w:p>
      <w:pPr>
        <w:pStyle w:val="Heading5"/>
        <w:rPr>
          <w:snapToGrid w:val="0"/>
        </w:rPr>
      </w:pPr>
      <w:bookmarkStart w:id="69" w:name="_Toc11834764"/>
      <w:bookmarkStart w:id="70" w:name="_Toc39303420"/>
      <w:bookmarkStart w:id="71" w:name="_Toc139171629"/>
      <w:bookmarkStart w:id="72" w:name="_Toc171757999"/>
      <w:r>
        <w:rPr>
          <w:rStyle w:val="CharSectno"/>
        </w:rPr>
        <w:t>15C</w:t>
      </w:r>
      <w:r>
        <w:rPr>
          <w:snapToGrid w:val="0"/>
        </w:rPr>
        <w:t>.</w:t>
      </w:r>
      <w:r>
        <w:rPr>
          <w:snapToGrid w:val="0"/>
        </w:rPr>
        <w:tab/>
        <w:t>Pilot remaining on board</w:t>
      </w:r>
      <w:bookmarkEnd w:id="69"/>
      <w:bookmarkEnd w:id="70"/>
      <w:bookmarkEnd w:id="71"/>
      <w:bookmarkEnd w:id="72"/>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$108.14 per hour with a minimum charge of $724.53 and a maximum charge in any 24 hour period of $1 881.62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 xml:space="preserve">[Regulation 15C inserted in Gazette 12 May 1998 p. 2773; amended in Gazette 20 Oct 1998 p. 5792; 20 Jun 2000 p. 3041; 14 Jun 2002 p. 2821; 27 Jun 2003 p. 2522; 25 Jun 2004 p. 2266-7; 24 Jun 2005 p. 2774-5; 23 Jun 2006 p. 2209; 12 Jun 2007 p. 2724.] </w:t>
      </w:r>
    </w:p>
    <w:p>
      <w:pPr>
        <w:pStyle w:val="Heading5"/>
        <w:rPr>
          <w:snapToGrid w:val="0"/>
        </w:rPr>
      </w:pPr>
      <w:bookmarkStart w:id="73" w:name="_Toc11834765"/>
      <w:bookmarkStart w:id="74" w:name="_Toc39303421"/>
      <w:bookmarkStart w:id="75" w:name="_Toc139171630"/>
      <w:bookmarkStart w:id="76" w:name="_Toc171758000"/>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$796.17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w:t>
      </w:r>
    </w:p>
    <w:p>
      <w:pPr>
        <w:pStyle w:val="Heading5"/>
        <w:rPr>
          <w:snapToGrid w:val="0"/>
        </w:rPr>
      </w:pPr>
      <w:bookmarkStart w:id="77" w:name="_Toc11834766"/>
      <w:bookmarkStart w:id="78" w:name="_Toc39303422"/>
      <w:bookmarkStart w:id="79" w:name="_Toc139171631"/>
      <w:bookmarkStart w:id="80" w:name="_Toc171758001"/>
      <w:r>
        <w:rPr>
          <w:rStyle w:val="CharSectno"/>
        </w:rPr>
        <w:t>16A</w:t>
      </w:r>
      <w:r>
        <w:rPr>
          <w:snapToGrid w:val="0"/>
        </w:rPr>
        <w:t>.</w:t>
      </w:r>
      <w:r>
        <w:rPr>
          <w:snapToGrid w:val="0"/>
        </w:rPr>
        <w:tab/>
        <w:t>Eligibility to attempt examination</w:t>
      </w:r>
      <w:bookmarkEnd w:id="77"/>
      <w:bookmarkEnd w:id="78"/>
      <w:bookmarkEnd w:id="79"/>
      <w:bookmarkEnd w:id="80"/>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81" w:name="_Toc11834767"/>
      <w:bookmarkStart w:id="82" w:name="_Toc39303423"/>
      <w:bookmarkStart w:id="83" w:name="_Toc139171632"/>
      <w:bookmarkStart w:id="84" w:name="_Toc171758002"/>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171758003"/>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171758004"/>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171758005"/>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97" w:name="_Toc11834771"/>
      <w:bookmarkStart w:id="98" w:name="_Toc39303427"/>
      <w:bookmarkStart w:id="99" w:name="_Toc139171636"/>
      <w:bookmarkStart w:id="100" w:name="_Toc171758006"/>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171758007"/>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171758008"/>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109" w:name="_Toc11834774"/>
      <w:bookmarkStart w:id="110" w:name="_Toc39303430"/>
      <w:bookmarkStart w:id="111" w:name="_Toc139171639"/>
      <w:bookmarkStart w:id="112" w:name="_Toc171758009"/>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113" w:name="_Toc11834775"/>
      <w:bookmarkStart w:id="114" w:name="_Toc39303431"/>
      <w:bookmarkStart w:id="115" w:name="_Toc139171640"/>
      <w:bookmarkStart w:id="116" w:name="_Toc171758010"/>
      <w:r>
        <w:rPr>
          <w:rStyle w:val="CharSectno"/>
        </w:rPr>
        <w:t>16J</w:t>
      </w:r>
      <w:r>
        <w:rPr>
          <w:snapToGrid w:val="0"/>
        </w:rPr>
        <w:t>.</w:t>
      </w:r>
      <w:r>
        <w:rPr>
          <w:snapToGrid w:val="0"/>
        </w:rPr>
        <w:tab/>
        <w:t>Pilotage exemption record book</w:t>
      </w:r>
      <w:bookmarkEnd w:id="113"/>
      <w:bookmarkEnd w:id="114"/>
      <w:bookmarkEnd w:id="115"/>
      <w:bookmarkEnd w:id="116"/>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171758011"/>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171758012"/>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171758013"/>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171758014"/>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171758015"/>
      <w:r>
        <w:rPr>
          <w:rStyle w:val="CharSectno"/>
        </w:rPr>
        <w:t>17</w:t>
      </w:r>
      <w:r>
        <w:rPr>
          <w:snapToGrid w:val="0"/>
        </w:rPr>
        <w:t>.</w:t>
      </w:r>
      <w:r>
        <w:rPr>
          <w:snapToGrid w:val="0"/>
        </w:rPr>
        <w:tab/>
        <w:t>Flag required if no pilot on board</w:t>
      </w:r>
      <w:bookmarkEnd w:id="133"/>
      <w:bookmarkEnd w:id="134"/>
      <w:bookmarkEnd w:id="135"/>
      <w:bookmarkEnd w:id="136"/>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137" w:name="_Toc11834781"/>
      <w:bookmarkStart w:id="138" w:name="_Toc39303437"/>
      <w:bookmarkStart w:id="139" w:name="_Toc139171646"/>
      <w:bookmarkStart w:id="140" w:name="_Toc171758016"/>
      <w:r>
        <w:rPr>
          <w:rStyle w:val="CharSectno"/>
        </w:rPr>
        <w:t>18</w:t>
      </w:r>
      <w:r>
        <w:rPr>
          <w:snapToGrid w:val="0"/>
        </w:rPr>
        <w:t>.</w:t>
      </w:r>
      <w:r>
        <w:rPr>
          <w:snapToGrid w:val="0"/>
        </w:rPr>
        <w:tab/>
        <w:t>Conservancy dues</w:t>
      </w:r>
      <w:bookmarkEnd w:id="137"/>
      <w:bookmarkEnd w:id="138"/>
      <w:bookmarkEnd w:id="139"/>
      <w:bookmarkEnd w:id="14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141" w:name="_Toc11834782"/>
      <w:bookmarkStart w:id="142" w:name="_Toc39303438"/>
      <w:bookmarkStart w:id="143" w:name="_Toc139171647"/>
      <w:bookmarkStart w:id="144" w:name="_Toc171758017"/>
      <w:r>
        <w:rPr>
          <w:rStyle w:val="CharSectno"/>
        </w:rPr>
        <w:t>18A</w:t>
      </w:r>
      <w:r>
        <w:rPr>
          <w:snapToGrid w:val="0"/>
        </w:rPr>
        <w:t>.</w:t>
      </w:r>
      <w:r>
        <w:rPr>
          <w:snapToGrid w:val="0"/>
        </w:rPr>
        <w:tab/>
        <w:t>Gross registered tonnage</w:t>
      </w:r>
      <w:bookmarkEnd w:id="141"/>
      <w:bookmarkEnd w:id="142"/>
      <w:bookmarkEnd w:id="143"/>
      <w:bookmarkEnd w:id="144"/>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145" w:name="_Toc11834783"/>
      <w:bookmarkStart w:id="146" w:name="_Toc39303439"/>
      <w:bookmarkStart w:id="147" w:name="_Toc139171648"/>
      <w:bookmarkStart w:id="148" w:name="_Toc171758018"/>
      <w:r>
        <w:rPr>
          <w:rStyle w:val="CharSectno"/>
        </w:rPr>
        <w:t>19</w:t>
      </w:r>
      <w:r>
        <w:rPr>
          <w:snapToGrid w:val="0"/>
        </w:rPr>
        <w:t>.</w:t>
      </w:r>
      <w:r>
        <w:rPr>
          <w:snapToGrid w:val="0"/>
        </w:rPr>
        <w:tab/>
        <w:t>Powers of Harbour Master</w:t>
      </w:r>
      <w:bookmarkEnd w:id="145"/>
      <w:bookmarkEnd w:id="146"/>
      <w:bookmarkEnd w:id="147"/>
      <w:bookmarkEnd w:id="148"/>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171758019"/>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171758020"/>
      <w:r>
        <w:rPr>
          <w:rStyle w:val="CharSectno"/>
        </w:rPr>
        <w:t>21</w:t>
      </w:r>
      <w:r>
        <w:rPr>
          <w:snapToGrid w:val="0"/>
        </w:rPr>
        <w:t>.</w:t>
      </w:r>
      <w:r>
        <w:rPr>
          <w:snapToGrid w:val="0"/>
        </w:rPr>
        <w:tab/>
        <w:t>Anchoring within a port</w:t>
      </w:r>
      <w:bookmarkEnd w:id="153"/>
      <w:bookmarkEnd w:id="154"/>
      <w:bookmarkEnd w:id="155"/>
      <w:bookmarkEnd w:id="156"/>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157" w:name="_Toc11834786"/>
      <w:bookmarkStart w:id="158" w:name="_Toc39303442"/>
      <w:bookmarkStart w:id="159" w:name="_Toc139171651"/>
      <w:bookmarkStart w:id="160" w:name="_Toc171758021"/>
      <w:r>
        <w:rPr>
          <w:rStyle w:val="CharSectno"/>
        </w:rPr>
        <w:t>22</w:t>
      </w:r>
      <w:r>
        <w:rPr>
          <w:snapToGrid w:val="0"/>
        </w:rPr>
        <w:t>.</w:t>
      </w:r>
      <w:r>
        <w:rPr>
          <w:snapToGrid w:val="0"/>
        </w:rPr>
        <w:tab/>
        <w:t>Harbour Master may order scuttling</w:t>
      </w:r>
      <w:bookmarkEnd w:id="157"/>
      <w:bookmarkEnd w:id="158"/>
      <w:bookmarkEnd w:id="159"/>
      <w:bookmarkEnd w:id="160"/>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171758022"/>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171758023"/>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171758024"/>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171758025"/>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171758026"/>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171758027"/>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171758028"/>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171758029"/>
      <w:r>
        <w:rPr>
          <w:rStyle w:val="CharSectno"/>
        </w:rPr>
        <w:t>30</w:t>
      </w:r>
      <w:r>
        <w:rPr>
          <w:snapToGrid w:val="0"/>
        </w:rPr>
        <w:t>.</w:t>
      </w:r>
      <w:r>
        <w:rPr>
          <w:snapToGrid w:val="0"/>
        </w:rPr>
        <w:tab/>
        <w:t>Interpretation</w:t>
      </w:r>
      <w:bookmarkEnd w:id="189"/>
      <w:bookmarkEnd w:id="190"/>
      <w:bookmarkEnd w:id="191"/>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171758030"/>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171758031"/>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171758032"/>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171758033"/>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171758034"/>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171758035"/>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171758036"/>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171758037"/>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171758038"/>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171758039"/>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171758040"/>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171758041"/>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171758042"/>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171758043"/>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171758044"/>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171758045"/>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171758046"/>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171758047"/>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265" w:name="_Toc11834813"/>
      <w:bookmarkStart w:id="266" w:name="_Toc39303469"/>
      <w:bookmarkStart w:id="267" w:name="_Toc139171678"/>
      <w:bookmarkStart w:id="268" w:name="_Toc171758048"/>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269" w:name="_Toc11834814"/>
      <w:bookmarkStart w:id="270" w:name="_Toc39303470"/>
      <w:bookmarkStart w:id="271" w:name="_Toc139171679"/>
      <w:bookmarkStart w:id="272" w:name="_Toc171758049"/>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171758050"/>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bookmarkStart w:id="281" w:name="_Toc171745294"/>
      <w:bookmarkStart w:id="282" w:name="_Toc171756465"/>
      <w:bookmarkStart w:id="283" w:name="_Toc171758051"/>
      <w:r>
        <w:rPr>
          <w:rStyle w:val="CharSchNo"/>
        </w:rPr>
        <w:t>First Schedule</w:t>
      </w:r>
      <w:bookmarkEnd w:id="277"/>
      <w:bookmarkEnd w:id="278"/>
      <w:bookmarkEnd w:id="279"/>
      <w:bookmarkEnd w:id="280"/>
      <w:bookmarkEnd w:id="281"/>
      <w:bookmarkEnd w:id="282"/>
      <w:bookmarkEnd w:id="283"/>
    </w:p>
    <w:p>
      <w:pPr>
        <w:pStyle w:val="yHeading2"/>
        <w:outlineLvl w:val="9"/>
        <w:rPr>
          <w:sz w:val="22"/>
        </w:rPr>
      </w:pPr>
      <w:bookmarkStart w:id="284" w:name="_Toc139171682"/>
      <w:bookmarkStart w:id="285" w:name="_Toc139171767"/>
      <w:bookmarkStart w:id="286" w:name="_Toc139434877"/>
      <w:bookmarkStart w:id="287" w:name="_Toc171745295"/>
      <w:bookmarkStart w:id="288" w:name="_Toc171756466"/>
      <w:bookmarkStart w:id="289" w:name="_Toc171758052"/>
      <w:r>
        <w:rPr>
          <w:sz w:val="22"/>
        </w:rPr>
        <w:t>Table 1 — Tidal Signals at Port Hedland</w:t>
      </w:r>
      <w:bookmarkEnd w:id="284"/>
      <w:bookmarkEnd w:id="285"/>
      <w:bookmarkEnd w:id="286"/>
      <w:bookmarkEnd w:id="287"/>
      <w:bookmarkEnd w:id="288"/>
      <w:bookmarkEnd w:id="289"/>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290" w:name="_Toc139171683"/>
      <w:bookmarkStart w:id="291" w:name="_Toc139171768"/>
      <w:bookmarkStart w:id="292" w:name="_Toc139434878"/>
      <w:bookmarkStart w:id="293" w:name="_Toc171745296"/>
      <w:bookmarkStart w:id="294" w:name="_Toc171756467"/>
      <w:bookmarkStart w:id="295" w:name="_Toc171758053"/>
      <w:r>
        <w:rPr>
          <w:sz w:val="22"/>
        </w:rPr>
        <w:t>Table 2 — Tidal Signals at Broome and Derby</w:t>
      </w:r>
      <w:bookmarkEnd w:id="290"/>
      <w:bookmarkEnd w:id="291"/>
      <w:bookmarkEnd w:id="292"/>
      <w:bookmarkEnd w:id="293"/>
      <w:bookmarkEnd w:id="294"/>
      <w:bookmarkEnd w:id="295"/>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outlineLvl w:val="9"/>
        <w:rPr>
          <w:sz w:val="22"/>
        </w:rPr>
      </w:pPr>
      <w:bookmarkStart w:id="296" w:name="_Toc139171684"/>
      <w:bookmarkStart w:id="297" w:name="_Toc139171769"/>
      <w:bookmarkStart w:id="298" w:name="_Toc139434879"/>
      <w:bookmarkStart w:id="299" w:name="_Toc171745297"/>
      <w:bookmarkStart w:id="300" w:name="_Toc171756468"/>
      <w:bookmarkStart w:id="301" w:name="_Toc171758054"/>
      <w:r>
        <w:rPr>
          <w:sz w:val="22"/>
        </w:rPr>
        <w:t>Table 3 — Tidal Signals at Point Samson</w:t>
      </w:r>
      <w:bookmarkEnd w:id="296"/>
      <w:bookmarkEnd w:id="297"/>
      <w:bookmarkEnd w:id="298"/>
      <w:bookmarkEnd w:id="299"/>
      <w:bookmarkEnd w:id="300"/>
      <w:bookmarkEnd w:id="301"/>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302" w:name="_Toc39303473"/>
      <w:bookmarkStart w:id="303" w:name="_Toc139171685"/>
      <w:bookmarkStart w:id="304" w:name="_Toc139171770"/>
      <w:bookmarkStart w:id="305" w:name="_Toc139434880"/>
      <w:bookmarkStart w:id="306" w:name="_Toc171745298"/>
      <w:bookmarkStart w:id="307" w:name="_Toc171756469"/>
      <w:bookmarkStart w:id="308" w:name="_Toc171758055"/>
      <w:r>
        <w:rPr>
          <w:rStyle w:val="CharSchNo"/>
        </w:rPr>
        <w:t>Second Schedule</w:t>
      </w:r>
      <w:bookmarkEnd w:id="302"/>
      <w:bookmarkEnd w:id="303"/>
      <w:bookmarkEnd w:id="304"/>
      <w:bookmarkEnd w:id="305"/>
      <w:bookmarkEnd w:id="306"/>
      <w:bookmarkEnd w:id="307"/>
      <w:bookmarkEnd w:id="308"/>
    </w:p>
    <w:p>
      <w:pPr>
        <w:pStyle w:val="yHeading2"/>
        <w:spacing w:before="160" w:after="40"/>
        <w:outlineLvl w:val="9"/>
        <w:rPr>
          <w:sz w:val="22"/>
        </w:rPr>
      </w:pPr>
      <w:bookmarkStart w:id="309" w:name="_Toc139171686"/>
      <w:bookmarkStart w:id="310" w:name="_Toc139171771"/>
      <w:bookmarkStart w:id="311" w:name="_Toc139434881"/>
      <w:bookmarkStart w:id="312" w:name="_Toc171745299"/>
      <w:bookmarkStart w:id="313" w:name="_Toc171756470"/>
      <w:bookmarkStart w:id="314" w:name="_Toc171758056"/>
      <w:r>
        <w:rPr>
          <w:sz w:val="22"/>
        </w:rPr>
        <w:t>Table 1 — General Port Signals</w:t>
      </w:r>
      <w:bookmarkEnd w:id="309"/>
      <w:bookmarkEnd w:id="310"/>
      <w:bookmarkEnd w:id="311"/>
      <w:bookmarkEnd w:id="312"/>
      <w:bookmarkEnd w:id="313"/>
      <w:bookmarkEnd w:id="314"/>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315" w:name="_Toc139171687"/>
      <w:bookmarkStart w:id="316" w:name="_Toc139171772"/>
      <w:bookmarkStart w:id="317" w:name="_Toc139434882"/>
      <w:bookmarkStart w:id="318" w:name="_Toc171745300"/>
      <w:bookmarkStart w:id="319" w:name="_Toc171756471"/>
      <w:bookmarkStart w:id="320" w:name="_Toc171758057"/>
      <w:r>
        <w:rPr>
          <w:sz w:val="22"/>
        </w:rPr>
        <w:t>Table 2 — Signals to be used by masters of dredging vessels</w:t>
      </w:r>
      <w:bookmarkEnd w:id="315"/>
      <w:bookmarkEnd w:id="316"/>
      <w:bookmarkEnd w:id="317"/>
      <w:bookmarkEnd w:id="318"/>
      <w:bookmarkEnd w:id="319"/>
      <w:bookmarkEnd w:id="320"/>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321" w:name="_Toc139171688"/>
      <w:bookmarkStart w:id="322" w:name="_Toc139171773"/>
      <w:bookmarkStart w:id="323" w:name="_Toc139434883"/>
      <w:bookmarkStart w:id="324" w:name="_Toc171745301"/>
      <w:bookmarkStart w:id="325" w:name="_Toc171756472"/>
      <w:bookmarkStart w:id="326" w:name="_Toc171758058"/>
      <w:bookmarkStart w:id="327" w:name="_Toc39303477"/>
      <w:r>
        <w:rPr>
          <w:rStyle w:val="CharSchNo"/>
        </w:rPr>
        <w:t>Third Schedule</w:t>
      </w:r>
      <w:r>
        <w:t xml:space="preserve">  — </w:t>
      </w:r>
      <w:r>
        <w:rPr>
          <w:rStyle w:val="CharSchText"/>
        </w:rPr>
        <w:t>Fees and charges</w:t>
      </w:r>
      <w:bookmarkEnd w:id="321"/>
      <w:bookmarkEnd w:id="322"/>
      <w:bookmarkEnd w:id="323"/>
      <w:bookmarkEnd w:id="324"/>
      <w:bookmarkEnd w:id="325"/>
      <w:bookmarkEnd w:id="326"/>
    </w:p>
    <w:p>
      <w:pPr>
        <w:pStyle w:val="yFootnoteheading"/>
      </w:pPr>
      <w:r>
        <w:tab/>
        <w:t>[Heading inserted in Gazette 24 Jun 2005 p. 2775.]</w:t>
      </w:r>
    </w:p>
    <w:p>
      <w:pPr>
        <w:pStyle w:val="yHeading3"/>
      </w:pPr>
      <w:bookmarkStart w:id="328" w:name="_Toc139171689"/>
      <w:bookmarkStart w:id="329" w:name="_Toc139171774"/>
      <w:bookmarkStart w:id="330" w:name="_Toc139434884"/>
      <w:bookmarkStart w:id="331" w:name="_Toc171745302"/>
      <w:bookmarkStart w:id="332" w:name="_Toc171756473"/>
      <w:bookmarkStart w:id="333" w:name="_Toc171758059"/>
      <w:r>
        <w:t>Division 1</w:t>
      </w:r>
      <w:r>
        <w:rPr>
          <w:b w:val="0"/>
        </w:rPr>
        <w:t> — </w:t>
      </w:r>
      <w:r>
        <w:t>Pilotage at Wyndham</w:t>
      </w:r>
      <w:bookmarkEnd w:id="328"/>
      <w:bookmarkEnd w:id="329"/>
      <w:bookmarkEnd w:id="330"/>
      <w:bookmarkEnd w:id="331"/>
      <w:bookmarkEnd w:id="332"/>
      <w:bookmarkEnd w:id="333"/>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$4 838.44</w:t>
            </w:r>
          </w:p>
        </w:tc>
      </w:tr>
      <w:tr>
        <w:tc>
          <w:tcPr>
            <w:tcW w:w="2410" w:type="dxa"/>
          </w:tcPr>
          <w:p>
            <w:pPr>
              <w:pStyle w:val="yTable"/>
              <w:spacing w:before="0"/>
            </w:pPr>
            <w:r>
              <w:t>1 500 — 3 000</w:t>
            </w:r>
          </w:p>
        </w:tc>
        <w:tc>
          <w:tcPr>
            <w:tcW w:w="2835" w:type="dxa"/>
          </w:tcPr>
          <w:p>
            <w:pPr>
              <w:pStyle w:val="yTable"/>
              <w:tabs>
                <w:tab w:val="left" w:pos="742"/>
              </w:tabs>
              <w:spacing w:before="0"/>
            </w:pPr>
            <w:r>
              <w:tab/>
              <w:t xml:space="preserve">$4 951.42 </w:t>
            </w:r>
          </w:p>
        </w:tc>
      </w:tr>
      <w:tr>
        <w:tc>
          <w:tcPr>
            <w:tcW w:w="2410" w:type="dxa"/>
          </w:tcPr>
          <w:p>
            <w:pPr>
              <w:pStyle w:val="yTable"/>
              <w:spacing w:before="0"/>
            </w:pPr>
            <w:r>
              <w:t>3 001 — 5 000</w:t>
            </w:r>
          </w:p>
        </w:tc>
        <w:tc>
          <w:tcPr>
            <w:tcW w:w="2835" w:type="dxa"/>
          </w:tcPr>
          <w:p>
            <w:pPr>
              <w:pStyle w:val="yTable"/>
              <w:tabs>
                <w:tab w:val="left" w:pos="742"/>
              </w:tabs>
              <w:spacing w:before="0"/>
            </w:pPr>
            <w:r>
              <w:tab/>
              <w:t>$5 496.15</w:t>
            </w:r>
          </w:p>
        </w:tc>
      </w:tr>
      <w:tr>
        <w:tc>
          <w:tcPr>
            <w:tcW w:w="2410" w:type="dxa"/>
          </w:tcPr>
          <w:p>
            <w:pPr>
              <w:pStyle w:val="yTable"/>
              <w:spacing w:before="0"/>
            </w:pPr>
            <w:r>
              <w:t>5 001 — 10 000</w:t>
            </w:r>
          </w:p>
        </w:tc>
        <w:tc>
          <w:tcPr>
            <w:tcW w:w="2835" w:type="dxa"/>
          </w:tcPr>
          <w:p>
            <w:pPr>
              <w:pStyle w:val="yTable"/>
              <w:tabs>
                <w:tab w:val="left" w:pos="742"/>
              </w:tabs>
              <w:spacing w:before="0"/>
            </w:pPr>
            <w:r>
              <w:tab/>
              <w:t>$6 077.39</w:t>
            </w:r>
          </w:p>
        </w:tc>
      </w:tr>
      <w:tr>
        <w:tc>
          <w:tcPr>
            <w:tcW w:w="2410" w:type="dxa"/>
          </w:tcPr>
          <w:p>
            <w:pPr>
              <w:pStyle w:val="yTable"/>
              <w:spacing w:before="0"/>
            </w:pPr>
            <w:r>
              <w:t>10 001 — 20 000</w:t>
            </w:r>
          </w:p>
        </w:tc>
        <w:tc>
          <w:tcPr>
            <w:tcW w:w="2835" w:type="dxa"/>
          </w:tcPr>
          <w:p>
            <w:pPr>
              <w:pStyle w:val="yTable"/>
              <w:tabs>
                <w:tab w:val="left" w:pos="742"/>
              </w:tabs>
              <w:spacing w:before="0"/>
            </w:pPr>
            <w:r>
              <w:tab/>
              <w:t>$7 292.59</w:t>
            </w:r>
          </w:p>
        </w:tc>
      </w:tr>
      <w:tr>
        <w:tc>
          <w:tcPr>
            <w:tcW w:w="2410" w:type="dxa"/>
          </w:tcPr>
          <w:p>
            <w:pPr>
              <w:pStyle w:val="yTable"/>
              <w:spacing w:before="0"/>
            </w:pPr>
            <w:r>
              <w:t>20 001 — 30 000</w:t>
            </w:r>
          </w:p>
        </w:tc>
        <w:tc>
          <w:tcPr>
            <w:tcW w:w="2835" w:type="dxa"/>
          </w:tcPr>
          <w:p>
            <w:pPr>
              <w:pStyle w:val="yTable"/>
              <w:tabs>
                <w:tab w:val="left" w:pos="742"/>
              </w:tabs>
              <w:spacing w:before="0"/>
            </w:pPr>
            <w:r>
              <w:tab/>
              <w:t>$8 153.66</w:t>
            </w:r>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$8 926.85</w:t>
            </w:r>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$601.52</w:t>
            </w:r>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$343.34/hour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$492.04/hour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r>
        <w:rPr>
          <w:rStyle w:val="CharSchNo"/>
        </w:rPr>
        <w:tab/>
        <w:t>[Division 1 inserted in Gazette 24 Jun 2005 p. 2775-6; amended in Gazette 23 Jun 2006 p. 2210; 12 Jun 2007 p. 2724</w:t>
      </w:r>
      <w:r>
        <w:rPr>
          <w:rStyle w:val="CharSchNo"/>
        </w:rPr>
        <w:noBreakHyphen/>
        <w:t>5.]</w:t>
      </w:r>
    </w:p>
    <w:p>
      <w:pPr>
        <w:pStyle w:val="yHeading3"/>
      </w:pPr>
      <w:bookmarkStart w:id="334" w:name="UpToHere"/>
      <w:bookmarkStart w:id="335" w:name="_Toc139171690"/>
      <w:bookmarkStart w:id="336" w:name="_Toc139171775"/>
      <w:bookmarkStart w:id="337" w:name="_Toc139434885"/>
      <w:bookmarkStart w:id="338" w:name="_Toc171745303"/>
      <w:bookmarkStart w:id="339" w:name="_Toc171756474"/>
      <w:bookmarkStart w:id="340" w:name="_Toc171758060"/>
      <w:bookmarkEnd w:id="334"/>
      <w:r>
        <w:t>Division 2</w:t>
      </w:r>
      <w:r>
        <w:rPr>
          <w:b w:val="0"/>
        </w:rPr>
        <w:t> — </w:t>
      </w:r>
      <w:r>
        <w:t>Conservancy dues</w:t>
      </w:r>
      <w:bookmarkEnd w:id="335"/>
      <w:bookmarkEnd w:id="336"/>
      <w:bookmarkEnd w:id="337"/>
      <w:bookmarkEnd w:id="338"/>
      <w:bookmarkEnd w:id="339"/>
      <w:bookmarkEnd w:id="340"/>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$108.20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$141.50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$207.10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$317.90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$485.20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$758.10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$96.50</w:t>
            </w:r>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$108.20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$141.50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$207.10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$317.90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$485.20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$758.10</w:t>
            </w:r>
          </w:p>
        </w:tc>
      </w:tr>
    </w:tbl>
    <w:p>
      <w:pPr>
        <w:pStyle w:val="yFootnotesection"/>
        <w:rPr>
          <w:rStyle w:val="CharSchNo"/>
        </w:rPr>
      </w:pPr>
      <w:r>
        <w:rPr>
          <w:rStyle w:val="CharSchNo"/>
        </w:rPr>
        <w:tab/>
        <w:t>[Division 2 inserted in Gazette 24 Jun 2005 p. 2776-7; 23 Jun 2006 p. 2210</w:t>
      </w:r>
      <w:r>
        <w:rPr>
          <w:rStyle w:val="CharSchNo"/>
        </w:rPr>
        <w:noBreakHyphen/>
        <w:t>11; 12 Jun 2007 p. 2722.]</w:t>
      </w:r>
    </w:p>
    <w:p>
      <w:pPr>
        <w:pStyle w:val="yScheduleHeading"/>
      </w:pPr>
      <w:bookmarkStart w:id="341" w:name="_Toc139171691"/>
      <w:bookmarkStart w:id="342" w:name="_Toc139171776"/>
      <w:bookmarkStart w:id="343" w:name="_Toc139434886"/>
      <w:bookmarkStart w:id="344" w:name="_Toc171745304"/>
      <w:bookmarkStart w:id="345" w:name="_Toc171756475"/>
      <w:bookmarkStart w:id="346" w:name="_Toc171758061"/>
      <w:r>
        <w:rPr>
          <w:rStyle w:val="CharSchNo"/>
        </w:rPr>
        <w:t>Fourth Schedule</w:t>
      </w:r>
      <w:bookmarkEnd w:id="327"/>
      <w:bookmarkEnd w:id="341"/>
      <w:bookmarkEnd w:id="342"/>
      <w:bookmarkEnd w:id="343"/>
      <w:bookmarkEnd w:id="344"/>
      <w:bookmarkEnd w:id="345"/>
      <w:bookmarkEnd w:id="346"/>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347" w:name="_Toc39303478"/>
      <w:bookmarkStart w:id="348" w:name="_Toc139171692"/>
      <w:bookmarkStart w:id="349" w:name="_Toc139171777"/>
      <w:bookmarkStart w:id="350" w:name="_Toc139434887"/>
      <w:bookmarkStart w:id="351" w:name="_Toc171745305"/>
      <w:bookmarkStart w:id="352" w:name="_Toc171756476"/>
      <w:bookmarkStart w:id="353" w:name="_Toc171758062"/>
      <w:r>
        <w:rPr>
          <w:rStyle w:val="CharSchNo"/>
        </w:rPr>
        <w:t>Fifth Schedule</w:t>
      </w:r>
      <w:bookmarkEnd w:id="347"/>
      <w:bookmarkEnd w:id="348"/>
      <w:bookmarkEnd w:id="349"/>
      <w:bookmarkEnd w:id="350"/>
      <w:bookmarkEnd w:id="351"/>
      <w:bookmarkEnd w:id="352"/>
      <w:bookmarkEnd w:id="353"/>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354" w:name="_Toc39303479"/>
      <w:bookmarkStart w:id="355" w:name="_Toc47337513"/>
      <w:bookmarkStart w:id="356" w:name="_Toc47339097"/>
      <w:bookmarkStart w:id="357" w:name="_Toc47339324"/>
      <w:bookmarkStart w:id="358" w:name="_Toc139171693"/>
      <w:bookmarkStart w:id="359" w:name="_Toc139171778"/>
      <w:bookmarkStart w:id="360" w:name="_Toc139434888"/>
      <w:bookmarkStart w:id="361" w:name="_Toc171745306"/>
      <w:bookmarkStart w:id="362" w:name="_Toc171756477"/>
      <w:bookmarkStart w:id="363" w:name="_Toc171758063"/>
      <w:r>
        <w:rPr>
          <w:rStyle w:val="CharSchNo"/>
        </w:rPr>
        <w:t>Sixth Schedule</w:t>
      </w:r>
      <w:bookmarkEnd w:id="354"/>
      <w:bookmarkEnd w:id="355"/>
      <w:bookmarkEnd w:id="356"/>
      <w:bookmarkEnd w:id="357"/>
      <w:bookmarkEnd w:id="358"/>
      <w:bookmarkEnd w:id="359"/>
      <w:bookmarkEnd w:id="360"/>
      <w:bookmarkEnd w:id="361"/>
      <w:bookmarkEnd w:id="362"/>
      <w:bookmarkEnd w:id="363"/>
    </w:p>
    <w:p>
      <w:pPr>
        <w:pStyle w:val="yHeading2"/>
        <w:outlineLvl w:val="9"/>
      </w:pPr>
      <w:bookmarkStart w:id="364" w:name="_Toc139171694"/>
      <w:bookmarkStart w:id="365" w:name="_Toc139171779"/>
      <w:bookmarkStart w:id="366" w:name="_Toc139434889"/>
      <w:bookmarkStart w:id="367" w:name="_Toc171745307"/>
      <w:bookmarkStart w:id="368" w:name="_Toc171756478"/>
      <w:bookmarkStart w:id="369" w:name="_Toc171758064"/>
      <w:r>
        <w:rPr>
          <w:rStyle w:val="CharSchText"/>
        </w:rPr>
        <w:t>Forms</w:t>
      </w:r>
      <w:bookmarkEnd w:id="364"/>
      <w:bookmarkEnd w:id="365"/>
      <w:bookmarkEnd w:id="366"/>
      <w:bookmarkEnd w:id="367"/>
      <w:bookmarkEnd w:id="368"/>
      <w:bookmarkEnd w:id="369"/>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0" w:name="_Toc76541717"/>
      <w:bookmarkStart w:id="371" w:name="_Toc107747154"/>
      <w:bookmarkStart w:id="372" w:name="_Toc139171695"/>
      <w:bookmarkStart w:id="373" w:name="_Toc139171780"/>
      <w:bookmarkStart w:id="374" w:name="_Toc139434890"/>
      <w:bookmarkStart w:id="375" w:name="_Toc171745308"/>
      <w:bookmarkStart w:id="376" w:name="_Toc171756479"/>
      <w:bookmarkStart w:id="377" w:name="_Toc171758065"/>
      <w:r>
        <w:t>Notes</w:t>
      </w:r>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w:t>
      </w:r>
      <w:r>
        <w:rPr>
          <w:i/>
        </w:rPr>
        <w:t>1966</w:t>
      </w:r>
      <w:r>
        <w:rPr>
          <w:snapToGrid w:val="0"/>
        </w:rPr>
        <w:t xml:space="preserve"> and includes the amendments made by the other written laws referred to in the following table.  The table also contains information about any reprint.</w:t>
      </w:r>
    </w:p>
    <w:p>
      <w:pPr>
        <w:pStyle w:val="nHeading3"/>
      </w:pPr>
      <w:bookmarkStart w:id="378" w:name="_Toc39303480"/>
      <w:bookmarkStart w:id="379" w:name="_Toc139171696"/>
      <w:bookmarkStart w:id="380" w:name="_Toc171758066"/>
      <w:r>
        <w:t>Compilation table</w:t>
      </w:r>
      <w:bookmarkEnd w:id="378"/>
      <w:bookmarkEnd w:id="379"/>
      <w:bookmarkEnd w:id="38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Pr>
          <w:p>
            <w:pPr>
              <w:pStyle w:val="nTable"/>
              <w:spacing w:after="40"/>
              <w:rPr>
                <w:i/>
                <w:sz w:val="19"/>
              </w:rPr>
            </w:pPr>
            <w:r>
              <w:rPr>
                <w:i/>
                <w:sz w:val="19"/>
              </w:rPr>
              <w:t>Ports and Harbours Amendment Regulations 2005</w:t>
            </w:r>
          </w:p>
        </w:tc>
        <w:tc>
          <w:tcPr>
            <w:tcW w:w="1276" w:type="dxa"/>
            <w:gridSpan w:val="2"/>
          </w:tcPr>
          <w:p>
            <w:pPr>
              <w:pStyle w:val="nTable"/>
              <w:spacing w:after="40"/>
              <w:rPr>
                <w:sz w:val="19"/>
              </w:rPr>
            </w:pPr>
            <w:r>
              <w:rPr>
                <w:sz w:val="19"/>
              </w:rPr>
              <w:t>24 Jun 2005 p. 2773-7</w:t>
            </w:r>
          </w:p>
        </w:tc>
        <w:tc>
          <w:tcPr>
            <w:tcW w:w="2664" w:type="dxa"/>
          </w:tcPr>
          <w:p>
            <w:pPr>
              <w:pStyle w:val="nTable"/>
              <w:spacing w:after="40"/>
              <w:rPr>
                <w:sz w:val="19"/>
              </w:rPr>
            </w:pPr>
            <w:r>
              <w:rPr>
                <w:sz w:val="19"/>
              </w:rPr>
              <w:t>1 Jul 2005 (see r. 2)</w:t>
            </w:r>
          </w:p>
        </w:tc>
      </w:tr>
      <w:tr>
        <w:trPr>
          <w:cantSplit/>
        </w:trPr>
        <w:tc>
          <w:tcPr>
            <w:tcW w:w="3147" w:type="dxa"/>
            <w:gridSpan w:val="2"/>
          </w:tcPr>
          <w:p>
            <w:pPr>
              <w:pStyle w:val="nTable"/>
              <w:spacing w:after="40"/>
              <w:rPr>
                <w:i/>
                <w:sz w:val="19"/>
              </w:rPr>
            </w:pPr>
            <w:r>
              <w:rPr>
                <w:i/>
                <w:sz w:val="19"/>
              </w:rPr>
              <w:t>Ports and Harbours Amendment Regulations 2006</w:t>
            </w:r>
          </w:p>
        </w:tc>
        <w:tc>
          <w:tcPr>
            <w:tcW w:w="1276" w:type="dxa"/>
            <w:gridSpan w:val="2"/>
          </w:tcPr>
          <w:p>
            <w:pPr>
              <w:pStyle w:val="nTable"/>
              <w:spacing w:after="40"/>
              <w:rPr>
                <w:sz w:val="19"/>
              </w:rPr>
            </w:pPr>
            <w:r>
              <w:rPr>
                <w:sz w:val="19"/>
              </w:rPr>
              <w:t>23 Jun 2006 p. 2208</w:t>
            </w:r>
            <w:r>
              <w:rPr>
                <w:sz w:val="19"/>
              </w:rPr>
              <w:noBreakHyphen/>
              <w:t>11</w:t>
            </w:r>
          </w:p>
        </w:tc>
        <w:tc>
          <w:tcPr>
            <w:tcW w:w="2664" w:type="dxa"/>
          </w:tcPr>
          <w:p>
            <w:pPr>
              <w:pStyle w:val="nTable"/>
              <w:spacing w:after="40"/>
              <w:rPr>
                <w:sz w:val="19"/>
              </w:rPr>
            </w:pPr>
            <w:r>
              <w:rPr>
                <w:sz w:val="19"/>
              </w:rPr>
              <w:t>1 Jul 2006 (see r. 2)</w:t>
            </w:r>
          </w:p>
        </w:tc>
      </w:tr>
      <w:tr>
        <w:trPr>
          <w:cantSplit/>
        </w:trPr>
        <w:tc>
          <w:tcPr>
            <w:tcW w:w="3147" w:type="dxa"/>
            <w:gridSpan w:val="2"/>
          </w:tcPr>
          <w:p>
            <w:pPr>
              <w:pStyle w:val="nTable"/>
              <w:spacing w:after="40"/>
              <w:rPr>
                <w:i/>
                <w:sz w:val="19"/>
              </w:rPr>
            </w:pPr>
            <w:r>
              <w:rPr>
                <w:i/>
                <w:sz w:val="19"/>
              </w:rPr>
              <w:t xml:space="preserve">Ports and Harbours Amendment Regulations 2007 </w:t>
            </w:r>
          </w:p>
        </w:tc>
        <w:tc>
          <w:tcPr>
            <w:tcW w:w="1276" w:type="dxa"/>
            <w:gridSpan w:val="2"/>
          </w:tcPr>
          <w:p>
            <w:pPr>
              <w:pStyle w:val="nTable"/>
              <w:spacing w:after="40"/>
              <w:rPr>
                <w:sz w:val="19"/>
              </w:rPr>
            </w:pPr>
            <w:r>
              <w:rPr>
                <w:sz w:val="19"/>
              </w:rPr>
              <w:t>12 Jun 2007 p. 2721</w:t>
            </w:r>
            <w:r>
              <w:rPr>
                <w:sz w:val="19"/>
              </w:rPr>
              <w:noBreakHyphen/>
              <w:t>2</w:t>
            </w:r>
          </w:p>
        </w:tc>
        <w:tc>
          <w:tcPr>
            <w:tcW w:w="2664" w:type="dxa"/>
          </w:tcPr>
          <w:p>
            <w:pPr>
              <w:pStyle w:val="nTable"/>
              <w:spacing w:after="40"/>
              <w:rPr>
                <w:sz w:val="19"/>
              </w:rPr>
            </w:pPr>
            <w:r>
              <w:rPr>
                <w:sz w:val="19"/>
              </w:rPr>
              <w:t>1 Jul 2007 (see r. 2)</w:t>
            </w:r>
          </w:p>
        </w:tc>
      </w:tr>
      <w:tr>
        <w:trPr>
          <w:cantSplit/>
        </w:trPr>
        <w:tc>
          <w:tcPr>
            <w:tcW w:w="3147" w:type="dxa"/>
            <w:gridSpan w:val="2"/>
            <w:tcBorders>
              <w:bottom w:val="single" w:sz="4" w:space="0" w:color="auto"/>
            </w:tcBorders>
          </w:tcPr>
          <w:p>
            <w:pPr>
              <w:pStyle w:val="nTable"/>
              <w:spacing w:after="40"/>
              <w:rPr>
                <w:i/>
                <w:sz w:val="19"/>
              </w:rPr>
            </w:pPr>
            <w:r>
              <w:rPr>
                <w:i/>
                <w:sz w:val="19"/>
              </w:rPr>
              <w:t xml:space="preserve">Ports and Harbours Amendment Regulations (No. 2) 2007 </w:t>
            </w:r>
          </w:p>
        </w:tc>
        <w:tc>
          <w:tcPr>
            <w:tcW w:w="1276" w:type="dxa"/>
            <w:gridSpan w:val="2"/>
            <w:tcBorders>
              <w:bottom w:val="single" w:sz="4" w:space="0" w:color="auto"/>
            </w:tcBorders>
          </w:tcPr>
          <w:p>
            <w:pPr>
              <w:pStyle w:val="nTable"/>
              <w:spacing w:after="40"/>
              <w:rPr>
                <w:sz w:val="19"/>
              </w:rPr>
            </w:pPr>
            <w:r>
              <w:rPr>
                <w:sz w:val="19"/>
              </w:rPr>
              <w:t>12 Jun 2007 p. 2723</w:t>
            </w:r>
            <w:r>
              <w:rPr>
                <w:sz w:val="19"/>
              </w:rPr>
              <w:noBreakHyphen/>
              <w:t>5</w:t>
            </w:r>
          </w:p>
        </w:tc>
        <w:tc>
          <w:tcPr>
            <w:tcW w:w="2664" w:type="dxa"/>
            <w:tcBorders>
              <w:bottom w:val="single" w:sz="4" w:space="0" w:color="auto"/>
            </w:tcBorders>
          </w:tcPr>
          <w:p>
            <w:pPr>
              <w:pStyle w:val="nTable"/>
              <w:spacing w:after="40"/>
              <w:rPr>
                <w:sz w:val="19"/>
              </w:rPr>
            </w:pPr>
            <w:r>
              <w:rPr>
                <w:sz w:val="19"/>
              </w:rPr>
              <w:t>1 Jul 2007 (see r. 2)</w:t>
            </w:r>
          </w:p>
        </w:tc>
      </w:tr>
    </w:tbl>
    <w:p>
      <w:pPr>
        <w:pStyle w:val="nSubsection"/>
        <w:rPr>
          <w:vertAlign w:val="superscript"/>
        </w:rPr>
      </w:pPr>
    </w:p>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r>
        <w:t xml:space="preserve"> </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MiscClose"/>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32"/>
    <w:docVar w:name="WAFER_20151209084432" w:val="RemoveTrackChanges"/>
    <w:docVar w:name="WAFER_20151209084432_GUID" w:val="040bd253-2543-4999-8e08-37bbe20c6f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15339</Words>
  <Characters>74089</Characters>
  <Application>Microsoft Office Word</Application>
  <DocSecurity>0</DocSecurity>
  <Lines>2389</Lines>
  <Paragraphs>1375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1966 - 01-e0-02</dc:title>
  <dc:subject/>
  <dc:creator/>
  <cp:keywords/>
  <dc:description/>
  <cp:lastModifiedBy>svcMRProcess</cp:lastModifiedBy>
  <cp:revision>4</cp:revision>
  <cp:lastPrinted>2003-08-13T01:28:00Z</cp:lastPrinted>
  <dcterms:created xsi:type="dcterms:W3CDTF">2018-09-15T17:16:00Z</dcterms:created>
  <dcterms:modified xsi:type="dcterms:W3CDTF">2018-09-15T17:16:00Z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4709</vt:i4>
  </property>
  <property fmtid="{D5CDD505-2E9C-101B-9397-08002B2CF9AE}" pid="6" name="AsAtDate">
    <vt:lpwstr>01 Jul 2007</vt:lpwstr>
  </property>
  <property fmtid="{D5CDD505-2E9C-101B-9397-08002B2CF9AE}" pid="7" name="Suffix">
    <vt:lpwstr>01-e0-02</vt:lpwstr>
  </property>
</Properties>
</file>