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(Licensing) Regulations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_Toc186871585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_Toc186871586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_Toc186871587 \h </w:instrText>
      </w:r>
      <w:r>
        <w:fldChar w:fldCharType="separate"/>
      </w:r>
      <w:r>
        <w:t>1</w:t>
      </w:r>
      <w:r>
        <w:fldChar w:fldCharType="end"/>
      </w:r>
    </w:p>
    <w:p>
      <w:pPr>
        <w:pStyle w:val="TOC2"/>
        <w:tabs>
          <w:tab w:val="right" w:leader="dot" w:pos="7086"/>
        </w:tabs>
        <w:rPr>
          <w:b w:val="0"/>
          <w:sz w:val="24"/>
          <w:szCs w:val="24"/>
        </w:rPr>
      </w:pPr>
      <w:r>
        <w:rPr>
          <w:szCs w:val="30"/>
        </w:rPr>
        <w:t>Part 2 — The Electrical Licensing Board</w:t>
      </w:r>
    </w:p>
    <w:p>
      <w:pPr>
        <w:pStyle w:val="TOC4"/>
        <w:tabs>
          <w:tab w:val="right" w:leader="dot" w:pos="7086"/>
        </w:tabs>
        <w:rPr>
          <w:b w:val="0"/>
          <w:sz w:val="24"/>
          <w:szCs w:val="24"/>
        </w:rPr>
      </w:pPr>
      <w:r>
        <w:rPr>
          <w:szCs w:val="26"/>
        </w:rPr>
        <w:t>Division 1</w:t>
      </w:r>
      <w:r>
        <w:rPr>
          <w:snapToGrid w:val="0"/>
          <w:szCs w:val="26"/>
        </w:rPr>
        <w:t> — </w:t>
      </w:r>
      <w:r>
        <w:rPr>
          <w:szCs w:val="26"/>
        </w:rPr>
        <w:t>The Board</w:t>
      </w:r>
    </w:p>
    <w:p>
      <w:pPr>
        <w:pStyle w:val="TOC8"/>
        <w:rPr>
          <w:sz w:val="24"/>
          <w:szCs w:val="24"/>
        </w:rPr>
      </w:pPr>
      <w:r>
        <w:rPr>
          <w:szCs w:val="24"/>
        </w:rPr>
        <w:t>4</w:t>
      </w:r>
      <w:r>
        <w:rPr>
          <w:snapToGrid w:val="0"/>
          <w:szCs w:val="24"/>
        </w:rPr>
        <w:t>.</w:t>
      </w:r>
      <w:r>
        <w:rPr>
          <w:snapToGrid w:val="0"/>
          <w:szCs w:val="24"/>
        </w:rPr>
        <w:tab/>
        <w:t>Establishment</w:t>
      </w:r>
      <w:r>
        <w:tab/>
      </w:r>
      <w:r>
        <w:fldChar w:fldCharType="begin"/>
      </w:r>
      <w:r>
        <w:instrText xml:space="preserve"> PAGEREF _Toc186871590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_Toc186871591 \h </w:instrText>
      </w:r>
      <w:r>
        <w:fldChar w:fldCharType="separate"/>
      </w:r>
      <w:r>
        <w:t>6</w:t>
      </w:r>
      <w:r>
        <w:fldChar w:fldCharType="end"/>
      </w:r>
    </w:p>
    <w:p>
      <w:pPr>
        <w:pStyle w:val="TOC8"/>
        <w:rPr>
          <w:sz w:val="24"/>
          <w:szCs w:val="24"/>
        </w:rPr>
      </w:pPr>
      <w:r>
        <w:rPr>
          <w:szCs w:val="24"/>
        </w:rPr>
        <w:t>6.</w:t>
      </w:r>
      <w:r>
        <w:rPr>
          <w:szCs w:val="24"/>
        </w:rPr>
        <w:tab/>
        <w:t>Appointments from submissions by approved bodies and from applicants</w:t>
      </w:r>
      <w:r>
        <w:tab/>
      </w:r>
      <w:r>
        <w:fldChar w:fldCharType="begin"/>
      </w:r>
      <w:r>
        <w:instrText xml:space="preserve"> PAGEREF _Toc186871592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Tenure of office</w:t>
      </w:r>
      <w:r>
        <w:tab/>
      </w:r>
      <w:r>
        <w:fldChar w:fldCharType="begin"/>
      </w:r>
      <w:r>
        <w:instrText xml:space="preserve"> PAGEREF _Toc186871593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Vacation of office</w:t>
      </w:r>
      <w:r>
        <w:tab/>
      </w:r>
      <w:r>
        <w:fldChar w:fldCharType="begin"/>
      </w:r>
      <w:r>
        <w:instrText xml:space="preserve"> PAGEREF _Toc186871594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Acting members</w:t>
      </w:r>
      <w:r>
        <w:tab/>
      </w:r>
      <w:r>
        <w:fldChar w:fldCharType="begin"/>
      </w:r>
      <w:r>
        <w:instrText xml:space="preserve"> PAGEREF _Toc186871595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Meetings</w:t>
      </w:r>
      <w:r>
        <w:tab/>
      </w:r>
      <w:r>
        <w:fldChar w:fldCharType="begin"/>
      </w:r>
      <w:r>
        <w:instrText xml:space="preserve"> PAGEREF _Toc186871596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Procedures</w:t>
      </w:r>
      <w:r>
        <w:tab/>
      </w:r>
      <w:r>
        <w:fldChar w:fldCharType="begin"/>
      </w:r>
      <w:r>
        <w:instrText xml:space="preserve"> PAGEREF _Toc186871597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Remuneration and allowances</w:t>
      </w:r>
      <w:r>
        <w:tab/>
      </w:r>
      <w:r>
        <w:fldChar w:fldCharType="begin"/>
      </w:r>
      <w:r>
        <w:instrText xml:space="preserve"> PAGEREF _Toc186871598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Functions of the Board</w:t>
      </w:r>
      <w:r>
        <w:tab/>
      </w:r>
      <w:r>
        <w:fldChar w:fldCharType="begin"/>
      </w:r>
      <w:r>
        <w:instrText xml:space="preserve"> PAGEREF _Toc186871599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Executive officer and other officers</w:t>
      </w:r>
      <w:r>
        <w:tab/>
      </w:r>
      <w:r>
        <w:fldChar w:fldCharType="begin"/>
      </w:r>
      <w:r>
        <w:instrText xml:space="preserve"> PAGEREF _Toc186871600 \h </w:instrText>
      </w:r>
      <w:r>
        <w:fldChar w:fldCharType="separate"/>
      </w:r>
      <w:r>
        <w:t>14</w:t>
      </w:r>
      <w:r>
        <w:fldChar w:fldCharType="end"/>
      </w:r>
    </w:p>
    <w:p>
      <w:pPr>
        <w:pStyle w:val="TOC2"/>
        <w:tabs>
          <w:tab w:val="right" w:leader="dot" w:pos="7086"/>
        </w:tabs>
        <w:rPr>
          <w:b w:val="0"/>
          <w:sz w:val="24"/>
          <w:szCs w:val="24"/>
        </w:rPr>
      </w:pPr>
      <w:r>
        <w:rPr>
          <w:szCs w:val="30"/>
        </w:rPr>
        <w:t>Part 3 — Licensing of electrical workers</w:t>
      </w:r>
    </w:p>
    <w:p>
      <w:pPr>
        <w:pStyle w:val="TOC8"/>
        <w:rPr>
          <w:sz w:val="24"/>
          <w:szCs w:val="24"/>
        </w:rPr>
      </w:pPr>
      <w:r>
        <w:rPr>
          <w:szCs w:val="24"/>
        </w:rPr>
        <w:t>19</w:t>
      </w:r>
      <w:r>
        <w:rPr>
          <w:snapToGrid w:val="0"/>
          <w:szCs w:val="24"/>
        </w:rPr>
        <w:t>.</w:t>
      </w:r>
      <w:r>
        <w:rPr>
          <w:snapToGrid w:val="0"/>
          <w:szCs w:val="24"/>
        </w:rPr>
        <w:tab/>
        <w:t>Electrical work prohibited unless authorised</w:t>
      </w:r>
      <w:r>
        <w:tab/>
      </w:r>
      <w:r>
        <w:fldChar w:fldCharType="begin"/>
      </w:r>
      <w:r>
        <w:instrText xml:space="preserve"> PAGEREF _Toc186871602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Effect of licence</w:t>
      </w:r>
      <w:r>
        <w:tab/>
      </w:r>
      <w:r>
        <w:fldChar w:fldCharType="begin"/>
      </w:r>
      <w:r>
        <w:instrText xml:space="preserve"> PAGEREF _Toc186871603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Effect of permit</w:t>
      </w:r>
      <w:r>
        <w:tab/>
      </w:r>
      <w:r>
        <w:fldChar w:fldCharType="begin"/>
      </w:r>
      <w:r>
        <w:instrText xml:space="preserve"> PAGEREF _Toc186871604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Eligibility for licence</w:t>
      </w:r>
      <w:r>
        <w:tab/>
      </w:r>
      <w:r>
        <w:fldChar w:fldCharType="begin"/>
      </w:r>
      <w:r>
        <w:instrText xml:space="preserve"> PAGEREF _Toc186871605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Application for licence or permit</w:t>
      </w:r>
      <w:r>
        <w:tab/>
      </w:r>
      <w:r>
        <w:fldChar w:fldCharType="begin"/>
      </w:r>
      <w:r>
        <w:instrText xml:space="preserve"> PAGEREF _Toc186871606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Issue of licence or permit</w:t>
      </w:r>
      <w:r>
        <w:tab/>
      </w:r>
      <w:r>
        <w:fldChar w:fldCharType="begin"/>
      </w:r>
      <w:r>
        <w:instrText xml:space="preserve"> PAGEREF _Toc186871607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Holders of licences issued in another State or Territory or in New Zealand</w:t>
      </w:r>
      <w:r>
        <w:tab/>
      </w:r>
      <w:r>
        <w:fldChar w:fldCharType="begin"/>
      </w:r>
      <w:r>
        <w:instrText xml:space="preserve"> PAGEREF _Toc186871608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Duration of registration of licence or permit</w:t>
      </w:r>
      <w:r>
        <w:tab/>
      </w:r>
      <w:r>
        <w:fldChar w:fldCharType="begin"/>
      </w:r>
      <w:r>
        <w:instrText xml:space="preserve"> PAGEREF _Toc186871609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Renewal of registration</w:t>
      </w:r>
      <w:r>
        <w:tab/>
      </w:r>
      <w:r>
        <w:fldChar w:fldCharType="begin"/>
      </w:r>
      <w:r>
        <w:instrText xml:space="preserve"> PAGEREF _Toc186871610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Address</w:t>
      </w:r>
      <w:r>
        <w:tab/>
      </w:r>
      <w:r>
        <w:fldChar w:fldCharType="begin"/>
      </w:r>
      <w:r>
        <w:instrText xml:space="preserve"> PAGEREF _Toc186871611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Discretionary examinations and tests</w:t>
      </w:r>
      <w:r>
        <w:tab/>
      </w:r>
      <w:r>
        <w:fldChar w:fldCharType="begin"/>
      </w:r>
      <w:r>
        <w:instrText xml:space="preserve"> PAGEREF _Toc186871612 \h </w:instrText>
      </w:r>
      <w:r>
        <w:fldChar w:fldCharType="separate"/>
      </w:r>
      <w:r>
        <w:t>24</w:t>
      </w:r>
      <w:r>
        <w:fldChar w:fldCharType="end"/>
      </w:r>
    </w:p>
    <w:p>
      <w:pPr>
        <w:pStyle w:val="TOC8"/>
        <w:rPr>
          <w:sz w:val="24"/>
          <w:szCs w:val="24"/>
        </w:rPr>
      </w:pPr>
      <w:r>
        <w:rPr>
          <w:szCs w:val="24"/>
        </w:rPr>
        <w:t>30.</w:t>
      </w:r>
      <w:r>
        <w:rPr>
          <w:szCs w:val="24"/>
        </w:rPr>
        <w:tab/>
        <w:t>Discipline</w:t>
      </w:r>
      <w:r>
        <w:tab/>
      </w:r>
      <w:r>
        <w:fldChar w:fldCharType="begin"/>
      </w:r>
      <w:r>
        <w:instrText xml:space="preserve"> PAGEREF _Toc186871613 \h </w:instrText>
      </w:r>
      <w:r>
        <w:fldChar w:fldCharType="separate"/>
      </w:r>
      <w:r>
        <w:t>25</w:t>
      </w:r>
      <w:r>
        <w:fldChar w:fldCharType="end"/>
      </w:r>
    </w:p>
    <w:p>
      <w:pPr>
        <w:pStyle w:val="TOC8"/>
        <w:rPr>
          <w:sz w:val="24"/>
          <w:szCs w:val="24"/>
        </w:rPr>
      </w:pPr>
      <w:r>
        <w:rPr>
          <w:szCs w:val="24"/>
        </w:rPr>
        <w:t>31.</w:t>
      </w:r>
      <w:r>
        <w:rPr>
          <w:szCs w:val="24"/>
        </w:rPr>
        <w:tab/>
        <w:t>Disciplinary powers</w:t>
      </w:r>
      <w:r>
        <w:tab/>
      </w:r>
      <w:r>
        <w:fldChar w:fldCharType="begin"/>
      </w:r>
      <w:r>
        <w:instrText xml:space="preserve"> PAGEREF _Toc186871614 \h </w:instrText>
      </w:r>
      <w:r>
        <w:fldChar w:fldCharType="separate"/>
      </w:r>
      <w:r>
        <w:t>26</w:t>
      </w:r>
      <w:r>
        <w:fldChar w:fldCharType="end"/>
      </w:r>
    </w:p>
    <w:p>
      <w:pPr>
        <w:pStyle w:val="TOC8"/>
        <w:rPr>
          <w:sz w:val="24"/>
          <w:szCs w:val="24"/>
        </w:rPr>
      </w:pPr>
      <w:r>
        <w:rPr>
          <w:szCs w:val="24"/>
        </w:rPr>
        <w:t>31A.</w:t>
      </w:r>
      <w:r>
        <w:rPr>
          <w:szCs w:val="24"/>
        </w:rPr>
        <w:tab/>
        <w:t>Alternative to bringing proceedings</w:t>
      </w:r>
      <w:r>
        <w:tab/>
      </w:r>
      <w:r>
        <w:fldChar w:fldCharType="begin"/>
      </w:r>
      <w:r>
        <w:instrText xml:space="preserve"> PAGEREF _Toc186871615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Effect of, and revocation of, suspension</w:t>
      </w:r>
      <w:r>
        <w:tab/>
      </w:r>
      <w:r>
        <w:fldChar w:fldCharType="begin"/>
      </w:r>
      <w:r>
        <w:instrText xml:space="preserve"> PAGEREF _Toc186871616 \h </w:instrText>
      </w:r>
      <w:r>
        <w:fldChar w:fldCharType="separate"/>
      </w:r>
      <w:r>
        <w:t>28</w:t>
      </w:r>
      <w:r>
        <w:fldChar w:fldCharType="end"/>
      </w:r>
    </w:p>
    <w:p>
      <w:pPr>
        <w:pStyle w:val="TOC2"/>
        <w:tabs>
          <w:tab w:val="right" w:leader="dot" w:pos="7086"/>
        </w:tabs>
        <w:rPr>
          <w:b w:val="0"/>
          <w:sz w:val="24"/>
          <w:szCs w:val="24"/>
        </w:rPr>
      </w:pPr>
      <w:r>
        <w:rPr>
          <w:szCs w:val="30"/>
        </w:rPr>
        <w:t>Part 4 — Licensing of electrical contractors and for in</w:t>
      </w:r>
      <w:r>
        <w:rPr>
          <w:szCs w:val="30"/>
        </w:rPr>
        <w:noBreakHyphen/>
        <w:t>house electrical installing work</w:t>
      </w:r>
    </w:p>
    <w:p>
      <w:pPr>
        <w:pStyle w:val="TOC8"/>
        <w:rPr>
          <w:sz w:val="24"/>
          <w:szCs w:val="24"/>
        </w:rPr>
      </w:pPr>
      <w:r>
        <w:rPr>
          <w:szCs w:val="24"/>
        </w:rPr>
        <w:t>33</w:t>
      </w:r>
      <w:r>
        <w:rPr>
          <w:snapToGrid w:val="0"/>
          <w:szCs w:val="24"/>
        </w:rPr>
        <w:t>.</w:t>
      </w:r>
      <w:r>
        <w:rPr>
          <w:snapToGrid w:val="0"/>
          <w:szCs w:val="24"/>
        </w:rPr>
        <w:tab/>
        <w:t>Electrical contracting prohibited unless authorised</w:t>
      </w:r>
      <w:r>
        <w:tab/>
      </w:r>
      <w:r>
        <w:fldChar w:fldCharType="begin"/>
      </w:r>
      <w:r>
        <w:instrText xml:space="preserve"> PAGEREF _Toc186871618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Dealing with unlicensed contractor prohibited</w:t>
      </w:r>
      <w:r>
        <w:tab/>
      </w:r>
      <w:r>
        <w:fldChar w:fldCharType="begin"/>
      </w:r>
      <w:r>
        <w:instrText xml:space="preserve"> PAGEREF _Toc186871619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Falsely implying work is authorised</w:t>
      </w:r>
      <w:r>
        <w:tab/>
      </w:r>
      <w:r>
        <w:fldChar w:fldCharType="begin"/>
      </w:r>
      <w:r>
        <w:instrText xml:space="preserve"> PAGEREF _Toc186871620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Eligibility for electrical contractor’s licence</w:t>
      </w:r>
      <w:r>
        <w:tab/>
      </w:r>
      <w:r>
        <w:fldChar w:fldCharType="begin"/>
      </w:r>
      <w:r>
        <w:instrText xml:space="preserve"> PAGEREF _Toc186871621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In</w:t>
      </w:r>
      <w:r>
        <w:rPr>
          <w:snapToGrid w:val="0"/>
          <w:szCs w:val="24"/>
        </w:rPr>
        <w:noBreakHyphen/>
        <w:t>house electrical installing work licence</w:t>
      </w:r>
      <w:r>
        <w:tab/>
      </w:r>
      <w:r>
        <w:fldChar w:fldCharType="begin"/>
      </w:r>
      <w:r>
        <w:instrText xml:space="preserve"> PAGEREF _Toc186871622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Nominated electrical worker</w:t>
      </w:r>
      <w:r>
        <w:tab/>
      </w:r>
      <w:r>
        <w:fldChar w:fldCharType="begin"/>
      </w:r>
      <w:r>
        <w:instrText xml:space="preserve"> PAGEREF _Toc186871623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Application for licence</w:t>
      </w:r>
      <w:r>
        <w:tab/>
      </w:r>
      <w:r>
        <w:fldChar w:fldCharType="begin"/>
      </w:r>
      <w:r>
        <w:instrText xml:space="preserve"> PAGEREF _Toc186871624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Issue of licence</w:t>
      </w:r>
      <w:r>
        <w:tab/>
      </w:r>
      <w:r>
        <w:fldChar w:fldCharType="begin"/>
      </w:r>
      <w:r>
        <w:instrText xml:space="preserve"> PAGEREF _Toc186871625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Licence held by a firm</w:t>
      </w:r>
      <w:r>
        <w:tab/>
      </w:r>
      <w:r>
        <w:fldChar w:fldCharType="begin"/>
      </w:r>
      <w:r>
        <w:instrText xml:space="preserve"> PAGEREF _Toc186871626 \h </w:instrText>
      </w:r>
      <w:r>
        <w:fldChar w:fldCharType="separate"/>
      </w:r>
      <w:r>
        <w:t>37</w:t>
      </w:r>
      <w:r>
        <w:fldChar w:fldCharType="end"/>
      </w:r>
    </w:p>
    <w:p>
      <w:pPr>
        <w:pStyle w:val="TOC8"/>
        <w:rPr>
          <w:sz w:val="24"/>
          <w:szCs w:val="24"/>
        </w:rPr>
      </w:pPr>
      <w:r>
        <w:rPr>
          <w:szCs w:val="24"/>
        </w:rPr>
        <w:t>42</w:t>
      </w:r>
      <w:r>
        <w:rPr>
          <w:snapToGrid w:val="0"/>
          <w:szCs w:val="24"/>
        </w:rPr>
        <w:t>.</w:t>
      </w:r>
      <w:r>
        <w:rPr>
          <w:snapToGrid w:val="0"/>
          <w:szCs w:val="24"/>
        </w:rPr>
        <w:tab/>
        <w:t>Board to be notified</w:t>
      </w:r>
      <w:r>
        <w:tab/>
      </w:r>
      <w:r>
        <w:fldChar w:fldCharType="begin"/>
      </w:r>
      <w:r>
        <w:instrText xml:space="preserve"> PAGEREF _Toc186871627 \h </w:instrText>
      </w:r>
      <w:r>
        <w:fldChar w:fldCharType="separate"/>
      </w:r>
      <w:r>
        <w:t>37</w:t>
      </w:r>
      <w:r>
        <w:fldChar w:fldCharType="end"/>
      </w:r>
    </w:p>
    <w:p>
      <w:pPr>
        <w:pStyle w:val="TOC8"/>
        <w:rPr>
          <w:sz w:val="24"/>
          <w:szCs w:val="24"/>
        </w:rPr>
      </w:pPr>
      <w:r>
        <w:rPr>
          <w:szCs w:val="24"/>
        </w:rPr>
        <w:t>43</w:t>
      </w:r>
      <w:r>
        <w:rPr>
          <w:snapToGrid w:val="0"/>
          <w:szCs w:val="24"/>
        </w:rPr>
        <w:t>.</w:t>
      </w:r>
      <w:r>
        <w:rPr>
          <w:snapToGrid w:val="0"/>
          <w:szCs w:val="24"/>
        </w:rPr>
        <w:tab/>
        <w:t>Duration of registration</w:t>
      </w:r>
      <w:r>
        <w:tab/>
      </w:r>
      <w:r>
        <w:fldChar w:fldCharType="begin"/>
      </w:r>
      <w:r>
        <w:instrText xml:space="preserve"> PAGEREF _Toc186871628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Renewal of registration</w:t>
      </w:r>
      <w:r>
        <w:tab/>
      </w:r>
      <w:r>
        <w:fldChar w:fldCharType="begin"/>
      </w:r>
      <w:r>
        <w:instrText xml:space="preserve"> PAGEREF _Toc186871629 \h </w:instrText>
      </w:r>
      <w:r>
        <w:fldChar w:fldCharType="separate"/>
      </w:r>
      <w:r>
        <w:t>37</w:t>
      </w:r>
      <w:r>
        <w:fldChar w:fldCharType="end"/>
      </w:r>
    </w:p>
    <w:p>
      <w:pPr>
        <w:pStyle w:val="TOC8"/>
        <w:rPr>
          <w:sz w:val="24"/>
          <w:szCs w:val="24"/>
        </w:rPr>
      </w:pPr>
      <w:r>
        <w:rPr>
          <w:szCs w:val="24"/>
        </w:rPr>
        <w:t>45</w:t>
      </w:r>
      <w:r>
        <w:rPr>
          <w:snapToGrid w:val="0"/>
          <w:szCs w:val="24"/>
        </w:rPr>
        <w:t>.</w:t>
      </w:r>
      <w:r>
        <w:rPr>
          <w:snapToGrid w:val="0"/>
          <w:szCs w:val="24"/>
        </w:rPr>
        <w:tab/>
        <w:t>Place of business</w:t>
      </w:r>
      <w:r>
        <w:tab/>
      </w:r>
      <w:r>
        <w:fldChar w:fldCharType="begin"/>
      </w:r>
      <w:r>
        <w:instrText xml:space="preserve"> PAGEREF _Toc186871630 \h </w:instrText>
      </w:r>
      <w:r>
        <w:fldChar w:fldCharType="separate"/>
      </w:r>
      <w:r>
        <w:t>38</w:t>
      </w:r>
      <w:r>
        <w:fldChar w:fldCharType="end"/>
      </w:r>
    </w:p>
    <w:p>
      <w:pPr>
        <w:pStyle w:val="TOC8"/>
        <w:rPr>
          <w:sz w:val="24"/>
          <w:szCs w:val="24"/>
        </w:rPr>
      </w:pPr>
      <w:r>
        <w:rPr>
          <w:szCs w:val="24"/>
        </w:rPr>
        <w:t>46</w:t>
      </w:r>
      <w:r>
        <w:rPr>
          <w:snapToGrid w:val="0"/>
          <w:szCs w:val="24"/>
        </w:rPr>
        <w:t>.</w:t>
      </w:r>
      <w:r>
        <w:rPr>
          <w:snapToGrid w:val="0"/>
          <w:szCs w:val="24"/>
        </w:rPr>
        <w:tab/>
        <w:t>Discipline</w:t>
      </w:r>
      <w:r>
        <w:tab/>
      </w:r>
      <w:r>
        <w:fldChar w:fldCharType="begin"/>
      </w:r>
      <w:r>
        <w:instrText xml:space="preserve"> PAGEREF _Toc186871631 \h </w:instrText>
      </w:r>
      <w:r>
        <w:fldChar w:fldCharType="separate"/>
      </w:r>
      <w:r>
        <w:t>38</w:t>
      </w:r>
      <w:r>
        <w:fldChar w:fldCharType="end"/>
      </w:r>
    </w:p>
    <w:p>
      <w:pPr>
        <w:pStyle w:val="TOC8"/>
        <w:rPr>
          <w:sz w:val="24"/>
          <w:szCs w:val="24"/>
        </w:rPr>
      </w:pPr>
      <w:r>
        <w:rPr>
          <w:szCs w:val="24"/>
        </w:rPr>
        <w:t>47</w:t>
      </w:r>
      <w:r>
        <w:rPr>
          <w:snapToGrid w:val="0"/>
          <w:szCs w:val="24"/>
        </w:rPr>
        <w:t>.</w:t>
      </w:r>
      <w:r>
        <w:rPr>
          <w:snapToGrid w:val="0"/>
          <w:szCs w:val="24"/>
        </w:rPr>
        <w:tab/>
        <w:t>Disciplinary powers</w:t>
      </w:r>
      <w:r>
        <w:tab/>
      </w:r>
      <w:r>
        <w:fldChar w:fldCharType="begin"/>
      </w:r>
      <w:r>
        <w:instrText xml:space="preserve"> PAGEREF _Toc186871632 \h </w:instrText>
      </w:r>
      <w:r>
        <w:fldChar w:fldCharType="separate"/>
      </w:r>
      <w:r>
        <w:t>39</w:t>
      </w:r>
      <w:r>
        <w:fldChar w:fldCharType="end"/>
      </w:r>
    </w:p>
    <w:p>
      <w:pPr>
        <w:pStyle w:val="TOC8"/>
        <w:rPr>
          <w:sz w:val="24"/>
          <w:szCs w:val="24"/>
        </w:rPr>
      </w:pPr>
      <w:r>
        <w:rPr>
          <w:szCs w:val="24"/>
        </w:rPr>
        <w:t>47A</w:t>
      </w:r>
      <w:r>
        <w:rPr>
          <w:snapToGrid w:val="0"/>
          <w:szCs w:val="24"/>
        </w:rPr>
        <w:t>.</w:t>
      </w:r>
      <w:r>
        <w:rPr>
          <w:snapToGrid w:val="0"/>
          <w:szCs w:val="24"/>
        </w:rPr>
        <w:tab/>
        <w:t>Alternative to bringing proceedings</w:t>
      </w:r>
      <w:r>
        <w:tab/>
      </w:r>
      <w:r>
        <w:fldChar w:fldCharType="begin"/>
      </w:r>
      <w:r>
        <w:instrText xml:space="preserve"> PAGEREF _Toc186871633 \h </w:instrText>
      </w:r>
      <w:r>
        <w:fldChar w:fldCharType="separate"/>
      </w:r>
      <w:r>
        <w:t>40</w:t>
      </w:r>
      <w:r>
        <w:fldChar w:fldCharType="end"/>
      </w:r>
    </w:p>
    <w:p>
      <w:pPr>
        <w:pStyle w:val="TOC2"/>
        <w:tabs>
          <w:tab w:val="right" w:leader="dot" w:pos="7086"/>
        </w:tabs>
        <w:rPr>
          <w:b w:val="0"/>
          <w:sz w:val="24"/>
          <w:szCs w:val="24"/>
        </w:rPr>
      </w:pPr>
      <w:r>
        <w:rPr>
          <w:szCs w:val="30"/>
        </w:rPr>
        <w:t>Part 5 — Regulation of electrical work</w:t>
      </w:r>
    </w:p>
    <w:p>
      <w:pPr>
        <w:pStyle w:val="TOC8"/>
        <w:rPr>
          <w:sz w:val="24"/>
          <w:szCs w:val="24"/>
        </w:rPr>
      </w:pPr>
      <w:r>
        <w:rPr>
          <w:szCs w:val="24"/>
        </w:rPr>
        <w:t>49</w:t>
      </w:r>
      <w:r>
        <w:rPr>
          <w:snapToGrid w:val="0"/>
          <w:szCs w:val="24"/>
        </w:rPr>
        <w:t>.</w:t>
      </w:r>
      <w:r>
        <w:rPr>
          <w:snapToGrid w:val="0"/>
          <w:szCs w:val="24"/>
        </w:rPr>
        <w:tab/>
        <w:t>Electrical work to be carried out in accordance with certain requirements</w:t>
      </w:r>
      <w:r>
        <w:tab/>
      </w:r>
      <w:r>
        <w:fldChar w:fldCharType="begin"/>
      </w:r>
      <w:r>
        <w:instrText xml:space="preserve"> PAGEREF _Toc186871635 \h </w:instrText>
      </w:r>
      <w:r>
        <w:fldChar w:fldCharType="separate"/>
      </w:r>
      <w:r>
        <w:t>43</w:t>
      </w:r>
      <w:r>
        <w:fldChar w:fldCharType="end"/>
      </w:r>
    </w:p>
    <w:p>
      <w:pPr>
        <w:pStyle w:val="TOC8"/>
        <w:rPr>
          <w:sz w:val="24"/>
          <w:szCs w:val="24"/>
        </w:rPr>
      </w:pPr>
      <w:r>
        <w:rPr>
          <w:szCs w:val="24"/>
        </w:rPr>
        <w:t>50</w:t>
      </w:r>
      <w:r>
        <w:rPr>
          <w:snapToGrid w:val="0"/>
          <w:szCs w:val="24"/>
        </w:rPr>
        <w:t>.</w:t>
      </w:r>
      <w:r>
        <w:rPr>
          <w:snapToGrid w:val="0"/>
          <w:szCs w:val="24"/>
        </w:rPr>
        <w:tab/>
        <w:t>Duty to effectively supervise electrical work</w:t>
      </w:r>
      <w:r>
        <w:tab/>
      </w:r>
      <w:r>
        <w:fldChar w:fldCharType="begin"/>
      </w:r>
      <w:r>
        <w:instrText xml:space="preserve"> PAGEREF _Toc186871636 \h </w:instrText>
      </w:r>
      <w:r>
        <w:fldChar w:fldCharType="separate"/>
      </w:r>
      <w:r>
        <w:t>44</w:t>
      </w:r>
      <w:r>
        <w:fldChar w:fldCharType="end"/>
      </w:r>
    </w:p>
    <w:p>
      <w:pPr>
        <w:pStyle w:val="TOC8"/>
        <w:rPr>
          <w:sz w:val="24"/>
          <w:szCs w:val="24"/>
        </w:rPr>
      </w:pPr>
      <w:r>
        <w:rPr>
          <w:szCs w:val="24"/>
        </w:rPr>
        <w:t>50A</w:t>
      </w:r>
      <w:r>
        <w:rPr>
          <w:snapToGrid w:val="0"/>
          <w:szCs w:val="24"/>
        </w:rPr>
        <w:t xml:space="preserve">. </w:t>
      </w:r>
      <w:r>
        <w:rPr>
          <w:snapToGrid w:val="0"/>
          <w:szCs w:val="24"/>
        </w:rPr>
        <w:tab/>
        <w:t>Licence holder not to cause or permit unsafe wiring or equipment to be connected to electrical installation</w:t>
      </w:r>
      <w:r>
        <w:tab/>
      </w:r>
      <w:r>
        <w:fldChar w:fldCharType="begin"/>
      </w:r>
      <w:r>
        <w:instrText xml:space="preserve"> PAGEREF _Toc186871637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Preliminary notice</w:t>
      </w:r>
      <w:r>
        <w:tab/>
      </w:r>
      <w:r>
        <w:fldChar w:fldCharType="begin"/>
      </w:r>
      <w:r>
        <w:instrText xml:space="preserve"> PAGEREF _Toc186871638 \h </w:instrText>
      </w:r>
      <w:r>
        <w:fldChar w:fldCharType="separate"/>
      </w:r>
      <w:r>
        <w:t>46</w:t>
      </w:r>
      <w:r>
        <w:fldChar w:fldCharType="end"/>
      </w:r>
    </w:p>
    <w:p>
      <w:pPr>
        <w:pStyle w:val="TOC8"/>
        <w:rPr>
          <w:sz w:val="24"/>
          <w:szCs w:val="24"/>
        </w:rPr>
      </w:pPr>
      <w:r>
        <w:rPr>
          <w:szCs w:val="24"/>
        </w:rPr>
        <w:t>52</w:t>
      </w:r>
      <w:r>
        <w:rPr>
          <w:snapToGrid w:val="0"/>
          <w:szCs w:val="24"/>
        </w:rPr>
        <w:t>.</w:t>
      </w:r>
      <w:r>
        <w:rPr>
          <w:snapToGrid w:val="0"/>
          <w:szCs w:val="24"/>
        </w:rPr>
        <w:tab/>
        <w:t>Notice of completion</w:t>
      </w:r>
      <w:r>
        <w:tab/>
      </w:r>
      <w:r>
        <w:fldChar w:fldCharType="begin"/>
      </w:r>
      <w:r>
        <w:instrText xml:space="preserve"> PAGEREF _Toc186871639 \h </w:instrText>
      </w:r>
      <w:r>
        <w:fldChar w:fldCharType="separate"/>
      </w:r>
      <w:r>
        <w:t>47</w:t>
      </w:r>
      <w:r>
        <w:fldChar w:fldCharType="end"/>
      </w:r>
    </w:p>
    <w:p>
      <w:pPr>
        <w:pStyle w:val="TOC8"/>
        <w:rPr>
          <w:sz w:val="24"/>
          <w:szCs w:val="24"/>
        </w:rPr>
      </w:pPr>
      <w:r>
        <w:rPr>
          <w:szCs w:val="24"/>
        </w:rPr>
        <w:t>53</w:t>
      </w:r>
      <w:r>
        <w:rPr>
          <w:snapToGrid w:val="0"/>
          <w:szCs w:val="24"/>
        </w:rPr>
        <w:t>.</w:t>
      </w:r>
      <w:r>
        <w:rPr>
          <w:snapToGrid w:val="0"/>
          <w:szCs w:val="24"/>
        </w:rPr>
        <w:tab/>
        <w:t>Work other than by electrical contractors and unlicensed persons</w:t>
      </w:r>
      <w:r>
        <w:tab/>
      </w:r>
      <w:r>
        <w:fldChar w:fldCharType="begin"/>
      </w:r>
      <w:r>
        <w:instrText xml:space="preserve"> PAGEREF _Toc186871640 \h </w:instrText>
      </w:r>
      <w:r>
        <w:fldChar w:fldCharType="separate"/>
      </w:r>
      <w:r>
        <w:t>48</w:t>
      </w:r>
      <w:r>
        <w:fldChar w:fldCharType="end"/>
      </w:r>
    </w:p>
    <w:p>
      <w:pPr>
        <w:pStyle w:val="TOC8"/>
        <w:rPr>
          <w:sz w:val="24"/>
          <w:szCs w:val="24"/>
        </w:rPr>
      </w:pPr>
      <w:r>
        <w:rPr>
          <w:szCs w:val="24"/>
        </w:rPr>
        <w:t>53A</w:t>
      </w:r>
      <w:r>
        <w:rPr>
          <w:snapToGrid w:val="0"/>
          <w:szCs w:val="24"/>
        </w:rPr>
        <w:t xml:space="preserve">. </w:t>
      </w:r>
      <w:r>
        <w:rPr>
          <w:snapToGrid w:val="0"/>
          <w:szCs w:val="24"/>
        </w:rPr>
        <w:tab/>
        <w:t>Further inspection fee</w:t>
      </w:r>
      <w:r>
        <w:tab/>
      </w:r>
      <w:r>
        <w:fldChar w:fldCharType="begin"/>
      </w:r>
      <w:r>
        <w:instrText xml:space="preserve"> PAGEREF _Toc186871641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Signing of notices</w:t>
      </w:r>
      <w:r>
        <w:tab/>
      </w:r>
      <w:r>
        <w:fldChar w:fldCharType="begin"/>
      </w:r>
      <w:r>
        <w:instrText xml:space="preserve"> PAGEREF _Toc186871642 \h </w:instrText>
      </w:r>
      <w:r>
        <w:fldChar w:fldCharType="separate"/>
      </w:r>
      <w:r>
        <w:t>49</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55</w:t>
      </w:r>
      <w:r>
        <w:rPr>
          <w:snapToGrid w:val="0"/>
          <w:szCs w:val="24"/>
        </w:rPr>
        <w:t>.</w:t>
      </w:r>
      <w:r>
        <w:rPr>
          <w:snapToGrid w:val="0"/>
          <w:szCs w:val="24"/>
        </w:rPr>
        <w:tab/>
        <w:t>Powers of entry and inspection</w:t>
      </w:r>
      <w:r>
        <w:tab/>
      </w:r>
      <w:r>
        <w:fldChar w:fldCharType="begin"/>
      </w:r>
      <w:r>
        <w:instrText xml:space="preserve"> PAGEREF _Toc186871644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Register</w:t>
      </w:r>
      <w:r>
        <w:tab/>
      </w:r>
      <w:r>
        <w:fldChar w:fldCharType="begin"/>
      </w:r>
      <w:r>
        <w:instrText xml:space="preserve"> PAGEREF _Toc186871645 \h </w:instrText>
      </w:r>
      <w:r>
        <w:fldChar w:fldCharType="separate"/>
      </w:r>
      <w:r>
        <w:t>51</w:t>
      </w:r>
      <w:r>
        <w:fldChar w:fldCharType="end"/>
      </w:r>
    </w:p>
    <w:p>
      <w:pPr>
        <w:pStyle w:val="TOC8"/>
        <w:rPr>
          <w:sz w:val="24"/>
          <w:szCs w:val="24"/>
        </w:rPr>
      </w:pPr>
      <w:r>
        <w:rPr>
          <w:szCs w:val="24"/>
        </w:rPr>
        <w:t>57</w:t>
      </w:r>
      <w:r>
        <w:rPr>
          <w:snapToGrid w:val="0"/>
          <w:szCs w:val="24"/>
        </w:rPr>
        <w:t>.</w:t>
      </w:r>
      <w:r>
        <w:rPr>
          <w:snapToGrid w:val="0"/>
          <w:szCs w:val="24"/>
        </w:rPr>
        <w:tab/>
        <w:t>Record of electrical workers employed</w:t>
      </w:r>
      <w:r>
        <w:tab/>
      </w:r>
      <w:r>
        <w:fldChar w:fldCharType="begin"/>
      </w:r>
      <w:r>
        <w:instrText xml:space="preserve"> PAGEREF _Toc186871646 \h </w:instrText>
      </w:r>
      <w:r>
        <w:fldChar w:fldCharType="separate"/>
      </w:r>
      <w:r>
        <w:t>51</w:t>
      </w:r>
      <w:r>
        <w:fldChar w:fldCharType="end"/>
      </w:r>
    </w:p>
    <w:p>
      <w:pPr>
        <w:pStyle w:val="TOC8"/>
        <w:rPr>
          <w:sz w:val="24"/>
          <w:szCs w:val="24"/>
        </w:rPr>
      </w:pPr>
      <w:r>
        <w:rPr>
          <w:szCs w:val="24"/>
        </w:rPr>
        <w:t>58</w:t>
      </w:r>
      <w:r>
        <w:rPr>
          <w:snapToGrid w:val="0"/>
          <w:szCs w:val="24"/>
        </w:rPr>
        <w:t>.</w:t>
      </w:r>
      <w:r>
        <w:rPr>
          <w:snapToGrid w:val="0"/>
          <w:szCs w:val="24"/>
        </w:rPr>
        <w:tab/>
        <w:t>Notice to produce licence and current registration certificate</w:t>
      </w:r>
      <w:r>
        <w:tab/>
      </w:r>
      <w:r>
        <w:fldChar w:fldCharType="begin"/>
      </w:r>
      <w:r>
        <w:instrText xml:space="preserve"> PAGEREF _Toc186871647 \h </w:instrText>
      </w:r>
      <w:r>
        <w:fldChar w:fldCharType="separate"/>
      </w:r>
      <w:r>
        <w:t>52</w:t>
      </w:r>
      <w:r>
        <w:fldChar w:fldCharType="end"/>
      </w:r>
    </w:p>
    <w:p>
      <w:pPr>
        <w:pStyle w:val="TOC8"/>
        <w:rPr>
          <w:sz w:val="24"/>
          <w:szCs w:val="24"/>
        </w:rPr>
      </w:pPr>
      <w:r>
        <w:rPr>
          <w:szCs w:val="24"/>
        </w:rPr>
        <w:t>59</w:t>
      </w:r>
      <w:r>
        <w:rPr>
          <w:snapToGrid w:val="0"/>
          <w:szCs w:val="24"/>
        </w:rPr>
        <w:t>.</w:t>
      </w:r>
      <w:r>
        <w:rPr>
          <w:snapToGrid w:val="0"/>
          <w:szCs w:val="24"/>
        </w:rPr>
        <w:tab/>
        <w:t>Offences related to licensing</w:t>
      </w:r>
      <w:r>
        <w:tab/>
      </w:r>
      <w:r>
        <w:fldChar w:fldCharType="begin"/>
      </w:r>
      <w:r>
        <w:instrText xml:space="preserve"> PAGEREF _Toc186871648 \h </w:instrText>
      </w:r>
      <w:r>
        <w:fldChar w:fldCharType="separate"/>
      </w:r>
      <w:r>
        <w:t>52</w:t>
      </w:r>
      <w:r>
        <w:fldChar w:fldCharType="end"/>
      </w:r>
    </w:p>
    <w:p>
      <w:pPr>
        <w:pStyle w:val="TOC8"/>
        <w:rPr>
          <w:sz w:val="24"/>
          <w:szCs w:val="24"/>
        </w:rPr>
      </w:pPr>
      <w:r>
        <w:rPr>
          <w:szCs w:val="24"/>
        </w:rPr>
        <w:t>60</w:t>
      </w:r>
      <w:r>
        <w:rPr>
          <w:snapToGrid w:val="0"/>
          <w:szCs w:val="24"/>
        </w:rPr>
        <w:t>.</w:t>
      </w:r>
      <w:r>
        <w:rPr>
          <w:snapToGrid w:val="0"/>
          <w:szCs w:val="24"/>
        </w:rPr>
        <w:tab/>
        <w:t>Duplicate of licence or permit document</w:t>
      </w:r>
      <w:r>
        <w:tab/>
      </w:r>
      <w:r>
        <w:fldChar w:fldCharType="begin"/>
      </w:r>
      <w:r>
        <w:instrText xml:space="preserve"> PAGEREF _Toc186871649 \h </w:instrText>
      </w:r>
      <w:r>
        <w:fldChar w:fldCharType="separate"/>
      </w:r>
      <w:r>
        <w:t>53</w:t>
      </w:r>
      <w:r>
        <w:fldChar w:fldCharType="end"/>
      </w:r>
    </w:p>
    <w:p>
      <w:pPr>
        <w:pStyle w:val="TOC8"/>
        <w:rPr>
          <w:sz w:val="24"/>
          <w:szCs w:val="24"/>
        </w:rPr>
      </w:pPr>
      <w:r>
        <w:rPr>
          <w:szCs w:val="24"/>
        </w:rPr>
        <w:t>61</w:t>
      </w:r>
      <w:r>
        <w:rPr>
          <w:snapToGrid w:val="0"/>
          <w:szCs w:val="24"/>
        </w:rPr>
        <w:t>.</w:t>
      </w:r>
      <w:r>
        <w:rPr>
          <w:snapToGrid w:val="0"/>
          <w:szCs w:val="24"/>
        </w:rPr>
        <w:tab/>
        <w:t>Return of licence or permit document</w:t>
      </w:r>
      <w:r>
        <w:tab/>
      </w:r>
      <w:r>
        <w:fldChar w:fldCharType="begin"/>
      </w:r>
      <w:r>
        <w:instrText xml:space="preserve"> PAGEREF _Toc186871650 \h </w:instrText>
      </w:r>
      <w:r>
        <w:fldChar w:fldCharType="separate"/>
      </w:r>
      <w:r>
        <w:t>53</w:t>
      </w:r>
      <w:r>
        <w:fldChar w:fldCharType="end"/>
      </w:r>
    </w:p>
    <w:p>
      <w:pPr>
        <w:pStyle w:val="TOC8"/>
        <w:rPr>
          <w:sz w:val="24"/>
          <w:szCs w:val="24"/>
        </w:rPr>
      </w:pPr>
      <w:r>
        <w:rPr>
          <w:szCs w:val="24"/>
        </w:rPr>
        <w:t>62</w:t>
      </w:r>
      <w:r>
        <w:rPr>
          <w:snapToGrid w:val="0"/>
          <w:szCs w:val="24"/>
        </w:rPr>
        <w:t>.</w:t>
      </w:r>
      <w:r>
        <w:rPr>
          <w:snapToGrid w:val="0"/>
          <w:szCs w:val="24"/>
        </w:rPr>
        <w:tab/>
        <w:t>Defects to be reported</w:t>
      </w:r>
      <w:r>
        <w:tab/>
      </w:r>
      <w:r>
        <w:fldChar w:fldCharType="begin"/>
      </w:r>
      <w:r>
        <w:instrText xml:space="preserve"> PAGEREF _Toc186871651 \h </w:instrText>
      </w:r>
      <w:r>
        <w:fldChar w:fldCharType="separate"/>
      </w:r>
      <w:r>
        <w:t>54</w:t>
      </w:r>
      <w:r>
        <w:fldChar w:fldCharType="end"/>
      </w:r>
    </w:p>
    <w:p>
      <w:pPr>
        <w:pStyle w:val="TOC8"/>
        <w:rPr>
          <w:sz w:val="24"/>
          <w:szCs w:val="24"/>
        </w:rPr>
      </w:pPr>
      <w:r>
        <w:rPr>
          <w:szCs w:val="24"/>
        </w:rPr>
        <w:t>63</w:t>
      </w:r>
      <w:r>
        <w:rPr>
          <w:snapToGrid w:val="0"/>
          <w:szCs w:val="24"/>
        </w:rPr>
        <w:t>.</w:t>
      </w:r>
      <w:r>
        <w:rPr>
          <w:snapToGrid w:val="0"/>
          <w:szCs w:val="24"/>
        </w:rPr>
        <w:tab/>
        <w:t>Accidents to be reported</w:t>
      </w:r>
      <w:r>
        <w:tab/>
      </w:r>
      <w:r>
        <w:fldChar w:fldCharType="begin"/>
      </w:r>
      <w:r>
        <w:instrText xml:space="preserve"> PAGEREF _Toc186871652 \h </w:instrText>
      </w:r>
      <w:r>
        <w:fldChar w:fldCharType="separate"/>
      </w:r>
      <w:r>
        <w:t>54</w:t>
      </w:r>
      <w:r>
        <w:fldChar w:fldCharType="end"/>
      </w:r>
    </w:p>
    <w:p>
      <w:pPr>
        <w:pStyle w:val="TOC8"/>
        <w:rPr>
          <w:sz w:val="24"/>
          <w:szCs w:val="24"/>
        </w:rPr>
      </w:pPr>
      <w:r>
        <w:rPr>
          <w:szCs w:val="24"/>
        </w:rPr>
        <w:t>63A</w:t>
      </w:r>
      <w:r>
        <w:rPr>
          <w:snapToGrid w:val="0"/>
          <w:szCs w:val="24"/>
        </w:rPr>
        <w:t xml:space="preserve">. </w:t>
      </w:r>
      <w:r>
        <w:rPr>
          <w:snapToGrid w:val="0"/>
          <w:szCs w:val="24"/>
        </w:rPr>
        <w:tab/>
        <w:t>Interference with scene of accident</w:t>
      </w:r>
      <w:r>
        <w:tab/>
      </w:r>
      <w:r>
        <w:fldChar w:fldCharType="begin"/>
      </w:r>
      <w:r>
        <w:instrText xml:space="preserve"> PAGEREF _Toc186871653 \h </w:instrText>
      </w:r>
      <w:r>
        <w:fldChar w:fldCharType="separate"/>
      </w:r>
      <w:r>
        <w:t>55</w:t>
      </w:r>
      <w:r>
        <w:fldChar w:fldCharType="end"/>
      </w:r>
    </w:p>
    <w:p>
      <w:pPr>
        <w:pStyle w:val="TOC8"/>
        <w:rPr>
          <w:sz w:val="24"/>
          <w:szCs w:val="24"/>
        </w:rPr>
      </w:pPr>
      <w:r>
        <w:rPr>
          <w:szCs w:val="24"/>
        </w:rPr>
        <w:t>63B.</w:t>
      </w:r>
      <w:r>
        <w:rPr>
          <w:szCs w:val="24"/>
        </w:rPr>
        <w:tab/>
        <w:t>Delegation by Director</w:t>
      </w:r>
      <w:r>
        <w:tab/>
      </w:r>
      <w:r>
        <w:fldChar w:fldCharType="begin"/>
      </w:r>
      <w:r>
        <w:instrText xml:space="preserve"> PAGEREF _Toc186871654 \h </w:instrText>
      </w:r>
      <w:r>
        <w:fldChar w:fldCharType="separate"/>
      </w:r>
      <w:r>
        <w:t>55</w:t>
      </w:r>
      <w:r>
        <w:fldChar w:fldCharType="end"/>
      </w:r>
    </w:p>
    <w:p>
      <w:pPr>
        <w:pStyle w:val="TOC8"/>
        <w:rPr>
          <w:sz w:val="24"/>
          <w:szCs w:val="24"/>
        </w:rPr>
      </w:pPr>
      <w:r>
        <w:rPr>
          <w:szCs w:val="24"/>
        </w:rPr>
        <w:t>64</w:t>
      </w:r>
      <w:r>
        <w:rPr>
          <w:snapToGrid w:val="0"/>
          <w:szCs w:val="24"/>
        </w:rPr>
        <w:t>.</w:t>
      </w:r>
      <w:r>
        <w:rPr>
          <w:snapToGrid w:val="0"/>
          <w:szCs w:val="24"/>
        </w:rPr>
        <w:tab/>
        <w:t>Fees</w:t>
      </w:r>
      <w:r>
        <w:tab/>
      </w:r>
      <w:r>
        <w:fldChar w:fldCharType="begin"/>
      </w:r>
      <w:r>
        <w:instrText xml:space="preserve"> PAGEREF _Toc186871655 \h </w:instrText>
      </w:r>
      <w:r>
        <w:fldChar w:fldCharType="separate"/>
      </w:r>
      <w:r>
        <w:t>55</w:t>
      </w:r>
      <w:r>
        <w:fldChar w:fldCharType="end"/>
      </w:r>
    </w:p>
    <w:p>
      <w:pPr>
        <w:pStyle w:val="TOC8"/>
        <w:rPr>
          <w:sz w:val="24"/>
          <w:szCs w:val="24"/>
        </w:rPr>
      </w:pPr>
      <w:r>
        <w:rPr>
          <w:szCs w:val="24"/>
        </w:rPr>
        <w:t>65</w:t>
      </w:r>
      <w:r>
        <w:rPr>
          <w:snapToGrid w:val="0"/>
          <w:szCs w:val="24"/>
        </w:rPr>
        <w:t>.</w:t>
      </w:r>
      <w:r>
        <w:rPr>
          <w:snapToGrid w:val="0"/>
          <w:szCs w:val="24"/>
        </w:rPr>
        <w:tab/>
        <w:t>General offence and penalty</w:t>
      </w:r>
      <w:r>
        <w:tab/>
      </w:r>
      <w:r>
        <w:fldChar w:fldCharType="begin"/>
      </w:r>
      <w:r>
        <w:instrText xml:space="preserve"> PAGEREF _Toc186871656 \h </w:instrText>
      </w:r>
      <w:r>
        <w:fldChar w:fldCharType="separate"/>
      </w:r>
      <w:r>
        <w:t>56</w:t>
      </w:r>
      <w:r>
        <w:fldChar w:fldCharType="end"/>
      </w:r>
    </w:p>
    <w:p>
      <w:pPr>
        <w:pStyle w:val="TOC8"/>
        <w:rPr>
          <w:sz w:val="24"/>
          <w:szCs w:val="24"/>
        </w:rPr>
      </w:pPr>
      <w:r>
        <w:rPr>
          <w:szCs w:val="24"/>
        </w:rPr>
        <w:t>67</w:t>
      </w:r>
      <w:r>
        <w:rPr>
          <w:snapToGrid w:val="0"/>
          <w:szCs w:val="24"/>
        </w:rPr>
        <w:t>.</w:t>
      </w:r>
      <w:r>
        <w:rPr>
          <w:snapToGrid w:val="0"/>
          <w:szCs w:val="24"/>
        </w:rPr>
        <w:tab/>
        <w:t>Savings and transitional</w:t>
      </w:r>
      <w:r>
        <w:tab/>
      </w:r>
      <w:r>
        <w:fldChar w:fldCharType="begin"/>
      </w:r>
      <w:r>
        <w:instrText xml:space="preserve"> PAGEREF _Toc186871657 \h </w:instrText>
      </w:r>
      <w:r>
        <w:fldChar w:fldCharType="separate"/>
      </w:r>
      <w:r>
        <w:t>56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_Toc186871661 \h </w:instrText>
      </w:r>
      <w:r>
        <w:fldChar w:fldCharType="separate"/>
      </w:r>
      <w:r>
        <w:t>60</w:t>
      </w:r>
      <w:r>
        <w:fldChar w:fldCharType="end"/>
      </w:r>
    </w:p>
    <w:p>
      <w:pPr>
        <w:pStyle w:val="TOC8"/>
        <w:rPr>
          <w:sz w:val="24"/>
        </w:rPr>
      </w:pPr>
      <w:r>
        <w:tab/>
        <w:t>Provisions that have not come into operation</w:t>
      </w:r>
      <w:r>
        <w:tab/>
      </w:r>
      <w:r>
        <w:fldChar w:fldCharType="begin"/>
      </w:r>
      <w:r>
        <w:instrText xml:space="preserve"> PAGEREF _Toc186871662 \h </w:instrText>
      </w:r>
      <w:r>
        <w:fldChar w:fldCharType="separate"/>
      </w:r>
      <w:r>
        <w:t>61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2" w:name="_Toc54672560"/>
      <w:bookmarkStart w:id="3" w:name="_Toc77479415"/>
      <w:bookmarkStart w:id="4" w:name="_Toc92790598"/>
      <w:bookmarkStart w:id="5" w:name="_Toc92790732"/>
      <w:bookmarkStart w:id="6" w:name="_Toc92965237"/>
      <w:bookmarkStart w:id="7" w:name="_Toc92965341"/>
      <w:bookmarkStart w:id="8" w:name="_Toc101593786"/>
      <w:bookmarkStart w:id="9" w:name="_Toc112133162"/>
      <w:bookmarkStart w:id="10" w:name="_Toc112151061"/>
      <w:bookmarkStart w:id="11" w:name="_Toc133305740"/>
      <w:bookmarkStart w:id="12" w:name="_Toc135028252"/>
      <w:bookmarkStart w:id="13" w:name="_Toc135121805"/>
      <w:bookmarkStart w:id="14" w:name="_Toc136660990"/>
      <w:bookmarkStart w:id="15" w:name="_Toc136661181"/>
      <w:bookmarkStart w:id="16" w:name="_Toc136662491"/>
      <w:bookmarkStart w:id="17" w:name="_Toc139258248"/>
      <w:bookmarkStart w:id="18" w:name="_Toc170722045"/>
      <w:bookmarkStart w:id="19" w:name="_Toc186871584"/>
      <w:bookmarkStart w:id="20" w:name="_Toc31684935"/>
      <w:r>
        <w:rPr>
          <w:rStyle w:val="CharPartNo"/>
        </w:rPr>
        <w:t>Part 1</w:t>
      </w:r>
      <w:r>
        <w:rPr>
          <w:rStyle w:val="CharDivNo"/>
        </w:rPr>
        <w:t> </w:t>
      </w:r>
      <w: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1" w:name="_Toc92790599"/>
      <w:bookmarkStart w:id="22" w:name="_Toc92965238"/>
      <w:bookmarkStart w:id="23" w:name="_Toc112151062"/>
      <w:bookmarkStart w:id="24" w:name="_Toc186871585"/>
      <w:r>
        <w:rPr>
          <w:rStyle w:val="CharSectno"/>
        </w:rPr>
        <w:t>1</w:t>
      </w:r>
      <w:r>
        <w:rPr>
          <w:snapToGrid w:val="0"/>
        </w:rPr>
        <w:t>.</w:t>
      </w:r>
      <w:r>
        <w:rPr>
          <w:snapToGrid w:val="0"/>
        </w:rPr>
        <w:tab/>
        <w:t>Citation</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25" w:name="_Toc31684936"/>
      <w:bookmarkStart w:id="26" w:name="_Toc92790600"/>
      <w:bookmarkStart w:id="27" w:name="_Toc92965239"/>
      <w:bookmarkStart w:id="28" w:name="_Toc112151063"/>
      <w:bookmarkStart w:id="29" w:name="_Toc186871586"/>
      <w:r>
        <w:rPr>
          <w:rStyle w:val="CharSectno"/>
        </w:rPr>
        <w:t>2</w:t>
      </w:r>
      <w:r>
        <w:rPr>
          <w:snapToGrid w:val="0"/>
        </w:rPr>
        <w:t>.</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30" w:name="_Toc31684937"/>
      <w:bookmarkStart w:id="31" w:name="_Toc92790601"/>
      <w:bookmarkStart w:id="32" w:name="_Toc92965240"/>
      <w:bookmarkStart w:id="33" w:name="_Toc112151064"/>
      <w:bookmarkStart w:id="34" w:name="_Toc186871587"/>
      <w:r>
        <w:rPr>
          <w:rStyle w:val="CharSectno"/>
        </w:rPr>
        <w:t>3</w:t>
      </w:r>
      <w:r>
        <w:rPr>
          <w:snapToGrid w:val="0"/>
        </w:rPr>
        <w:t>.</w:t>
      </w:r>
      <w:r>
        <w:rPr>
          <w:snapToGrid w:val="0"/>
        </w:rPr>
        <w:tab/>
        <w:t>Interpretation</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appointed day</w:t>
      </w:r>
      <w:r>
        <w:rPr>
          <w:b/>
        </w:rPr>
        <w:t>”</w:t>
      </w:r>
      <w:r>
        <w:t xml:space="preserve"> means the day fixed by the Minister under subregulation (2);</w:t>
      </w:r>
    </w:p>
    <w:p>
      <w:pPr>
        <w:pStyle w:val="Defstart"/>
      </w:pPr>
      <w:r>
        <w:tab/>
      </w:r>
      <w:r>
        <w:rPr>
          <w:b/>
        </w:rPr>
        <w:t>“</w:t>
      </w:r>
      <w:r>
        <w:rPr>
          <w:rStyle w:val="CharDefText"/>
        </w:rPr>
        <w:t>Australian/New Zealand Wiring Rules</w:t>
      </w:r>
      <w:r>
        <w:rPr>
          <w:b/>
        </w:rPr>
        <w:t>”</w:t>
      </w:r>
      <w:r>
        <w:t xml:space="preserve"> means AS/NZS 3000:2000 Electrical Installations</w:t>
      </w:r>
      <w:r>
        <w:rPr>
          <w:i/>
        </w:rPr>
        <w:t xml:space="preserve"> </w:t>
      </w:r>
      <w:r>
        <w:t>(known as the</w:t>
      </w:r>
      <w:r>
        <w:rPr>
          <w:i/>
        </w:rPr>
        <w:t xml:space="preserve"> </w:t>
      </w:r>
      <w:r>
        <w:t>Australian/New Zealand Wiring Rules), published jointly by Standards Australia and Standards New Zealand;</w:t>
      </w:r>
    </w:p>
    <w:p>
      <w:pPr>
        <w:pStyle w:val="Defstart"/>
      </w:pPr>
      <w:r>
        <w:rPr>
          <w:b/>
        </w:rPr>
        <w:tab/>
        <w:t>“</w:t>
      </w:r>
      <w:r>
        <w:rPr>
          <w:rStyle w:val="CharDefText"/>
        </w:rPr>
        <w:t>Board</w:t>
      </w:r>
      <w:r>
        <w:rPr>
          <w:b/>
        </w:rPr>
        <w:t>”</w:t>
      </w:r>
      <w:r>
        <w:t xml:space="preserve"> means the Electrical Licensing Board established under regulation 4;</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electrical appliance</w:t>
      </w:r>
      <w:r>
        <w:rPr>
          <w:b/>
        </w:rPr>
        <w:t>”</w:t>
      </w:r>
      <w:r>
        <w:t xml:space="preserve"> means a device in which electrical energy is consumed or substantially changed in character by conversion into heat, sound, motion, light or otherwise;</w:t>
      </w:r>
    </w:p>
    <w:p>
      <w:pPr>
        <w:pStyle w:val="Defstart"/>
      </w:pPr>
      <w:r>
        <w:rPr>
          <w:b/>
        </w:rPr>
        <w:tab/>
        <w:t>“</w:t>
      </w:r>
      <w:r>
        <w:rPr>
          <w:rStyle w:val="CharDefText"/>
        </w:rPr>
        <w:t>electrical contractor</w:t>
      </w:r>
      <w:r>
        <w:rPr>
          <w:b/>
        </w:rPr>
        <w:t>”</w:t>
      </w:r>
      <w:r>
        <w:t xml:space="preserve"> means a person who carries on business as an electrical mechanic but does not include an electrical mechanic when acting in the capacity of an employee;</w:t>
      </w:r>
    </w:p>
    <w:p>
      <w:pPr>
        <w:pStyle w:val="Defstart"/>
      </w:pPr>
      <w:r>
        <w:rPr>
          <w:b/>
        </w:rPr>
        <w:tab/>
        <w:t>“</w:t>
      </w:r>
      <w:r>
        <w:rPr>
          <w:rStyle w:val="CharDefText"/>
        </w:rPr>
        <w:t>electrical contractor’s licence</w:t>
      </w:r>
      <w:r>
        <w:rPr>
          <w:b/>
        </w:rPr>
        <w:t>”</w:t>
      </w:r>
      <w:r>
        <w:t xml:space="preserve"> means an electrical contractor’s licence issued under Part 4;</w:t>
      </w:r>
    </w:p>
    <w:p>
      <w:pPr>
        <w:pStyle w:val="Defstart"/>
      </w:pPr>
      <w:r>
        <w:rPr>
          <w:b/>
        </w:rPr>
        <w:tab/>
        <w:t>“</w:t>
      </w:r>
      <w:r>
        <w:rPr>
          <w:rStyle w:val="CharDefText"/>
        </w:rPr>
        <w:t>electrical equipment</w:t>
      </w:r>
      <w:r>
        <w:rPr>
          <w:b/>
        </w:rPr>
        <w:t>”</w:t>
      </w:r>
      <w:r>
        <w:t xml:space="preserve"> includes any component or part of an electrical installation;</w:t>
      </w:r>
    </w:p>
    <w:p>
      <w:pPr>
        <w:pStyle w:val="Defstart"/>
      </w:pPr>
      <w:r>
        <w:rPr>
          <w:b/>
        </w:rPr>
        <w:tab/>
        <w:t>“</w:t>
      </w:r>
      <w:r>
        <w:rPr>
          <w:rStyle w:val="CharDefText"/>
        </w:rPr>
        <w:t>electrical fitter</w:t>
      </w:r>
      <w:r>
        <w:rPr>
          <w:b/>
        </w:rPr>
        <w:t>”</w:t>
      </w:r>
      <w:r>
        <w:t xml:space="preserve"> means an electrical worker who is authorised under these regulations to carry out electrical fitting work;</w:t>
      </w:r>
    </w:p>
    <w:p>
      <w:pPr>
        <w:pStyle w:val="Defstart"/>
      </w:pPr>
      <w:r>
        <w:rPr>
          <w:b/>
        </w:rPr>
        <w:tab/>
        <w:t>“</w:t>
      </w:r>
      <w:r>
        <w:rPr>
          <w:rStyle w:val="CharDefText"/>
        </w:rPr>
        <w:t>electrical fitting work</w:t>
      </w:r>
      <w:r>
        <w:rPr>
          <w:b/>
        </w:rPr>
        <w:t>”</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t>“</w:t>
      </w:r>
      <w:r>
        <w:rPr>
          <w:rStyle w:val="CharDefText"/>
        </w:rPr>
        <w:t>electrical installation</w:t>
      </w:r>
      <w:r>
        <w:rPr>
          <w:b/>
        </w:rPr>
        <w:t>”</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t>“</w:t>
      </w:r>
      <w:r>
        <w:rPr>
          <w:rStyle w:val="CharDefText"/>
        </w:rPr>
        <w:t>electrical installing work</w:t>
      </w:r>
      <w:r>
        <w:rPr>
          <w:b/>
        </w:rPr>
        <w:t>”</w:t>
      </w:r>
      <w:r>
        <w:t xml:space="preserve"> means the work of assembling and fixing in place, altering or adding to any electrical installation or maintaining, enhancing, repairing, removing, or, connecting to fixed wiring, any electrical equipment;</w:t>
      </w:r>
    </w:p>
    <w:p>
      <w:pPr>
        <w:pStyle w:val="Defstart"/>
      </w:pPr>
      <w:r>
        <w:rPr>
          <w:b/>
        </w:rPr>
        <w:tab/>
        <w:t>“</w:t>
      </w:r>
      <w:r>
        <w:rPr>
          <w:rStyle w:val="CharDefText"/>
        </w:rPr>
        <w:t>electrical mechanic</w:t>
      </w:r>
      <w:r>
        <w:rPr>
          <w:b/>
        </w:rPr>
        <w:t>”</w:t>
      </w:r>
      <w:r>
        <w:t xml:space="preserve"> means an electrical worker who is authorised under these regulations to carry out electrical installing work;</w:t>
      </w:r>
    </w:p>
    <w:p>
      <w:pPr>
        <w:pStyle w:val="Defstart"/>
      </w:pPr>
      <w:r>
        <w:rPr>
          <w:b/>
        </w:rPr>
        <w:tab/>
        <w:t>“</w:t>
      </w:r>
      <w:r>
        <w:rPr>
          <w:rStyle w:val="CharDefText"/>
        </w:rPr>
        <w:t>electrical work</w:t>
      </w:r>
      <w:r>
        <w:rPr>
          <w:b/>
        </w:rPr>
        <w:t>”</w:t>
      </w:r>
      <w:r>
        <w:t xml:space="preserve"> means work on electrical machines or instruments, on an electrical installation or on electrical appliances or equipment to which electricity is supplied or intended to be supplied at a nominal pressure exceeding 50 volts alternating current or 115 volts direct current whether or not the thing on which the work is performed is part of, or is connected to or to be connected to, any distribution works or private generating plant and, where work is performed on any appliance, whether or not electricity is supplied or may be supplied thereto through an electric plug socket or socket outlet;</w:t>
      </w:r>
    </w:p>
    <w:p>
      <w:pPr>
        <w:pStyle w:val="Defstart"/>
      </w:pPr>
      <w:r>
        <w:rPr>
          <w:b/>
        </w:rPr>
        <w:tab/>
        <w:t>“</w:t>
      </w:r>
      <w:r>
        <w:rPr>
          <w:rStyle w:val="CharDefText"/>
        </w:rPr>
        <w:t>electrical worker</w:t>
      </w:r>
      <w:r>
        <w:rPr>
          <w:b/>
        </w:rPr>
        <w:t>”</w:t>
      </w:r>
      <w:r>
        <w:t xml:space="preserve"> means a person who carries out electrical work;</w:t>
      </w:r>
    </w:p>
    <w:p>
      <w:pPr>
        <w:pStyle w:val="Defstart"/>
      </w:pPr>
      <w:r>
        <w:rPr>
          <w:b/>
        </w:rPr>
        <w:tab/>
        <w:t>“</w:t>
      </w:r>
      <w:r>
        <w:rPr>
          <w:rStyle w:val="CharDefText"/>
        </w:rPr>
        <w:t>electrical worker’s licence</w:t>
      </w:r>
      <w:r>
        <w:rPr>
          <w:b/>
        </w:rPr>
        <w:t>”</w:t>
      </w:r>
      <w:r>
        <w:t xml:space="preserve"> means a licence issued under Part 3;</w:t>
      </w:r>
    </w:p>
    <w:p>
      <w:pPr>
        <w:pStyle w:val="Defstart"/>
      </w:pPr>
      <w:r>
        <w:rPr>
          <w:b/>
        </w:rPr>
        <w:tab/>
        <w:t>“</w:t>
      </w:r>
      <w:r>
        <w:rPr>
          <w:rStyle w:val="CharDefText"/>
        </w:rPr>
        <w:t>executive officer</w:t>
      </w:r>
      <w:r>
        <w:rPr>
          <w:b/>
        </w:rPr>
        <w:t>”</w:t>
      </w:r>
      <w:r>
        <w:t xml:space="preserve"> means the person holding or acting in the office of Executive Officer to the Board;</w:t>
      </w:r>
    </w:p>
    <w:p>
      <w:pPr>
        <w:pStyle w:val="Defstart"/>
      </w:pPr>
      <w:r>
        <w:rPr>
          <w:b/>
        </w:rPr>
        <w:tab/>
        <w:t>“</w:t>
      </w:r>
      <w:r>
        <w:rPr>
          <w:rStyle w:val="CharDefText"/>
        </w:rPr>
        <w:t>legal practitioner</w:t>
      </w:r>
      <w:r>
        <w:rPr>
          <w:b/>
        </w:rPr>
        <w:t>”</w:t>
      </w:r>
      <w:r>
        <w:t xml:space="preserve"> means a “practitioner” as defined in the</w:t>
      </w:r>
      <w:r>
        <w:rPr>
          <w:i/>
        </w:rPr>
        <w:t xml:space="preserve"> Legal Practice Act 2003</w:t>
      </w:r>
      <w:r>
        <w:t>;</w:t>
      </w:r>
    </w:p>
    <w:p>
      <w:pPr>
        <w:pStyle w:val="Defstart"/>
      </w:pPr>
      <w:r>
        <w:rPr>
          <w:b/>
        </w:rPr>
        <w:tab/>
        <w:t>“</w:t>
      </w:r>
      <w:r>
        <w:rPr>
          <w:rStyle w:val="CharDefText"/>
        </w:rPr>
        <w:t>licence</w:t>
      </w:r>
      <w:r>
        <w:rPr>
          <w:b/>
        </w:rPr>
        <w:t>”</w:t>
      </w:r>
      <w:r>
        <w:t xml:space="preserve"> means a licence under these regulations and when used in Part 3 means an electrical worker’s licence and when used in Part 4 means an electrical contractor’s licence or a licence to carry out electrical work that is in-house electrical installing work for the purposes of Part 4;</w:t>
      </w:r>
    </w:p>
    <w:p>
      <w:pPr>
        <w:pStyle w:val="Defstart"/>
      </w:pPr>
      <w:r>
        <w:rPr>
          <w:b/>
        </w:rPr>
        <w:tab/>
        <w:t>“</w:t>
      </w:r>
      <w:r>
        <w:rPr>
          <w:rStyle w:val="CharDefText"/>
        </w:rPr>
        <w:t>licensed electrical worker</w:t>
      </w:r>
      <w:r>
        <w:rPr>
          <w:b/>
        </w:rPr>
        <w:t>”</w:t>
      </w:r>
      <w:r>
        <w:t xml:space="preserve"> means the holder of an electrical worker’s licence or the holder of a permit under Part 3;</w:t>
      </w:r>
    </w:p>
    <w:p>
      <w:pPr>
        <w:pStyle w:val="Defstart"/>
      </w:pPr>
      <w:r>
        <w:rPr>
          <w:b/>
        </w:rPr>
        <w:tab/>
        <w:t>“</w:t>
      </w:r>
      <w:r>
        <w:rPr>
          <w:rStyle w:val="CharDefText"/>
        </w:rPr>
        <w:t>live</w:t>
      </w:r>
      <w:r>
        <w:rPr>
          <w:b/>
        </w:rPr>
        <w:t>”</w:t>
      </w:r>
      <w:r>
        <w:t>, in relation to any wire or other object, means having, under normal conditions of operation, a potential difference between that wire or other object and earth, and any metal that is deemed by the Australian/New Zealand Wiring Rules to be live for the purposes of that standard shall be regarded as live for the purposes of these regulations;</w:t>
      </w:r>
    </w:p>
    <w:p>
      <w:pPr>
        <w:pStyle w:val="Defstart"/>
      </w:pPr>
      <w:r>
        <w:rPr>
          <w:b/>
        </w:rPr>
        <w:tab/>
        <w:t>“</w:t>
      </w:r>
      <w:r>
        <w:rPr>
          <w:rStyle w:val="CharDefText"/>
        </w:rPr>
        <w:t>maintenance work</w:t>
      </w:r>
      <w:r>
        <w:rPr>
          <w:b/>
        </w:rPr>
        <w:t>”</w:t>
      </w:r>
      <w:r>
        <w:t xml:space="preserve"> means repairing defective electrical equipment or replacing electrical equipment with electrical equipment having an equal or substantially similar engineering specification;</w:t>
      </w:r>
    </w:p>
    <w:p>
      <w:pPr>
        <w:pStyle w:val="Defstart"/>
      </w:pPr>
      <w:r>
        <w:rPr>
          <w:b/>
        </w:rPr>
        <w:tab/>
        <w:t>“</w:t>
      </w:r>
      <w:r>
        <w:rPr>
          <w:rStyle w:val="CharDefText"/>
        </w:rPr>
        <w:t>mine</w:t>
      </w:r>
      <w:r>
        <w:rPr>
          <w:b/>
        </w:rPr>
        <w:t>”</w:t>
      </w:r>
      <w:r>
        <w:t xml:space="preserve"> has the same meaning as it has in the </w:t>
      </w:r>
      <w:r>
        <w:rPr>
          <w:i/>
        </w:rPr>
        <w:t>Mines Safety and Inspection Act 1994</w:t>
      </w:r>
      <w:r>
        <w:t>;</w:t>
      </w:r>
    </w:p>
    <w:p>
      <w:pPr>
        <w:pStyle w:val="Defstart"/>
      </w:pPr>
      <w:r>
        <w:rPr>
          <w:b/>
        </w:rPr>
        <w:tab/>
        <w:t>“</w:t>
      </w:r>
      <w:r>
        <w:rPr>
          <w:rStyle w:val="CharDefText"/>
        </w:rPr>
        <w:t>minor work</w:t>
      </w:r>
      <w:r>
        <w:rPr>
          <w:b/>
        </w:rPr>
        <w:t>”</w:t>
      </w:r>
      <w:r>
        <w:t xml:space="preserve"> means electrical installing work that does not require alterations to the service equipment, main switchboard, the consumer’s mains or the main earthing conductors and does not involve the installation of private generating plant or additions and alterations to an existing installation operating at a pressure in excess of 650 volts;</w:t>
      </w:r>
    </w:p>
    <w:p>
      <w:pPr>
        <w:pStyle w:val="Defstart"/>
      </w:pPr>
      <w:r>
        <w:rPr>
          <w:b/>
        </w:rPr>
        <w:tab/>
        <w:t>“</w:t>
      </w:r>
      <w:r>
        <w:rPr>
          <w:rStyle w:val="CharDefText"/>
        </w:rPr>
        <w:t>nominated electrical worker</w:t>
      </w:r>
      <w:r>
        <w:rPr>
          <w:b/>
        </w:rPr>
        <w:t>”</w:t>
      </w:r>
      <w:r>
        <w:t>, in relation to a licence under Part 4, means a person for the time being nominated for the purposes of regulation 36(1), (2) or (3) or 37(1) in respect of that licence;</w:t>
      </w:r>
    </w:p>
    <w:p>
      <w:pPr>
        <w:pStyle w:val="Defstart"/>
      </w:pPr>
      <w:r>
        <w:rPr>
          <w:b/>
        </w:rPr>
        <w:tab/>
        <w:t>“</w:t>
      </w:r>
      <w:r>
        <w:rPr>
          <w:rStyle w:val="CharDefText"/>
        </w:rPr>
        <w:t>permit</w:t>
      </w:r>
      <w:r>
        <w:rPr>
          <w:b/>
        </w:rPr>
        <w:t>”</w:t>
      </w:r>
      <w:r>
        <w:t xml:space="preserve"> means a permit under Part 3;</w:t>
      </w:r>
    </w:p>
    <w:p>
      <w:pPr>
        <w:pStyle w:val="Defstart"/>
      </w:pPr>
      <w:r>
        <w:rPr>
          <w:b/>
        </w:rPr>
        <w:tab/>
        <w:t>“</w:t>
      </w:r>
      <w:r>
        <w:rPr>
          <w:rStyle w:val="CharDefText"/>
        </w:rPr>
        <w:t>pressure</w:t>
      </w:r>
      <w:r>
        <w:rPr>
          <w:b/>
        </w:rPr>
        <w:t>”</w:t>
      </w:r>
      <w:r>
        <w:t xml:space="preserve"> means the difference in effective electrical potential measured in volts normally existing between conductors and between conductors and the earth;</w:t>
      </w:r>
    </w:p>
    <w:p>
      <w:pPr>
        <w:pStyle w:val="Defstart"/>
      </w:pPr>
      <w:r>
        <w:rPr>
          <w:b/>
        </w:rPr>
        <w:tab/>
        <w:t>“</w:t>
      </w:r>
      <w:r>
        <w:rPr>
          <w:rStyle w:val="CharDefText"/>
        </w:rPr>
        <w:t>private generating plant</w:t>
      </w:r>
      <w:r>
        <w:rPr>
          <w:b/>
        </w:rPr>
        <w:t>”</w:t>
      </w:r>
      <w:r>
        <w:t xml:space="preserve"> means generating works, that are for the generation of electricity at a pressure exceeding 50 volts alternating current or 115 volts direct current including all works, electrical equipment, and wiring ancillary thereto, and includes such generating works and works, electrical equipment and wiring ancillary thereto that are for the self-propulsion or other motivation of mobile equipment but does not include generating works owned or operated by a supply authority;</w:t>
      </w:r>
    </w:p>
    <w:p>
      <w:pPr>
        <w:pStyle w:val="Defstart"/>
      </w:pPr>
      <w:r>
        <w:rPr>
          <w:b/>
        </w:rPr>
        <w:tab/>
        <w:t>“</w:t>
      </w:r>
      <w:r>
        <w:rPr>
          <w:rStyle w:val="CharDefText"/>
        </w:rPr>
        <w:t>the relevant supply authority</w:t>
      </w:r>
      <w:r>
        <w:rPr>
          <w:b/>
        </w:rPr>
        <w:t>”</w:t>
      </w:r>
      <w:r>
        <w:t xml:space="preserve"> means — </w:t>
      </w:r>
    </w:p>
    <w:p>
      <w:pPr>
        <w:pStyle w:val="Defpara"/>
      </w:pPr>
      <w:r>
        <w:tab/>
        <w:t>(a)</w:t>
      </w:r>
      <w:r>
        <w:tab/>
        <w:t>in relation to an electrical installation of a consumer, the supply authority supplying electricity in the area within which the electrical installation is situated and to the distribution works of which the electrical installation is or is to be connected; or</w:t>
      </w:r>
    </w:p>
    <w:p>
      <w:pPr>
        <w:pStyle w:val="Defpara"/>
      </w:pPr>
      <w:r>
        <w:tab/>
        <w:t>(b)</w:t>
      </w:r>
      <w:r>
        <w:tab/>
        <w:t>in relation to an electrical installation other than an electrical installation of a consumer, the Director;</w:t>
      </w:r>
    </w:p>
    <w:p>
      <w:pPr>
        <w:pStyle w:val="Defstart"/>
      </w:pPr>
      <w:r>
        <w:rPr>
          <w:b/>
        </w:rPr>
        <w:tab/>
        <w:t>“</w:t>
      </w:r>
      <w:r>
        <w:rPr>
          <w:rStyle w:val="CharDefText"/>
        </w:rPr>
        <w:t>W A Electrical Requirements</w:t>
      </w:r>
      <w:r>
        <w:rPr>
          <w:b/>
        </w:rPr>
        <w:t>”</w:t>
      </w:r>
      <w:r>
        <w:t xml:space="preserve"> means the Code known by that name as issued by the Director;</w:t>
      </w:r>
    </w:p>
    <w:p>
      <w:pPr>
        <w:pStyle w:val="Defstart"/>
      </w:pPr>
      <w:r>
        <w:rPr>
          <w:b/>
        </w:rPr>
        <w:tab/>
        <w:t>“</w:t>
      </w:r>
      <w:r>
        <w:rPr>
          <w:rStyle w:val="CharDefText"/>
        </w:rPr>
        <w:t>working days</w:t>
      </w:r>
      <w:r>
        <w:rPr>
          <w:b/>
        </w:rPr>
        <w:t>”</w:t>
      </w:r>
      <w:r>
        <w:t xml:space="preserve"> does not include Saturdays, Sundays or public holidays.</w:t>
      </w:r>
    </w:p>
    <w:p>
      <w:pPr>
        <w:pStyle w:val="Subsection"/>
        <w:rPr>
          <w:snapToGrid w:val="0"/>
        </w:rPr>
      </w:pPr>
      <w:r>
        <w:rPr>
          <w:snapToGrid w:val="0"/>
        </w:rPr>
        <w:tab/>
        <w:t>(2)</w:t>
      </w:r>
      <w:r>
        <w:rPr>
          <w:snapToGrid w:val="0"/>
        </w:rPr>
        <w:tab/>
        <w:t xml:space="preserve">The Minister shall, by notice published in the </w:t>
      </w:r>
      <w:r>
        <w:rPr>
          <w:i/>
          <w:snapToGrid w:val="0"/>
        </w:rPr>
        <w:t>Gazette</w:t>
      </w:r>
      <w:r>
        <w:rPr>
          <w:snapToGrid w:val="0"/>
        </w:rPr>
        <w:t>, fix a day to be the appointed day for the purposes of the provisions of these regulations that refer to the appointed day.</w:t>
      </w:r>
    </w:p>
    <w:p>
      <w:pPr>
        <w:pStyle w:val="Footnotesection"/>
      </w:pPr>
      <w:r>
        <w:tab/>
        <w:t>[Regulation 3 amended in Gazette 23 Dec 1994 p. 7134; 6 Sep 1996 p. 4410</w:t>
      </w:r>
      <w:r>
        <w:noBreakHyphen/>
        <w:t>11; 24 Mar 2000 p. 1639</w:t>
      </w:r>
      <w:r>
        <w:noBreakHyphen/>
        <w:t xml:space="preserve">40; 19 Apr 2005 p. 1296.] </w:t>
      </w:r>
    </w:p>
    <w:p>
      <w:pPr>
        <w:pStyle w:val="Heading2"/>
      </w:pPr>
      <w:bookmarkStart w:id="35" w:name="_Toc54672564"/>
      <w:bookmarkStart w:id="36" w:name="_Toc77479419"/>
      <w:bookmarkStart w:id="37" w:name="_Toc92790602"/>
      <w:bookmarkStart w:id="38" w:name="_Toc92790736"/>
      <w:bookmarkStart w:id="39" w:name="_Toc92965241"/>
      <w:bookmarkStart w:id="40" w:name="_Toc92965345"/>
      <w:bookmarkStart w:id="41" w:name="_Toc101593790"/>
      <w:bookmarkStart w:id="42" w:name="_Toc112133166"/>
      <w:bookmarkStart w:id="43" w:name="_Toc112151065"/>
      <w:bookmarkStart w:id="44" w:name="_Toc133305744"/>
      <w:bookmarkStart w:id="45" w:name="_Toc135028256"/>
      <w:bookmarkStart w:id="46" w:name="_Toc135121809"/>
      <w:bookmarkStart w:id="47" w:name="_Toc136660994"/>
      <w:bookmarkStart w:id="48" w:name="_Toc136661185"/>
      <w:bookmarkStart w:id="49" w:name="_Toc136662495"/>
      <w:bookmarkStart w:id="50" w:name="_Toc139258252"/>
      <w:bookmarkStart w:id="51" w:name="_Toc170722049"/>
      <w:bookmarkStart w:id="52" w:name="_Toc186871588"/>
      <w:r>
        <w:rPr>
          <w:rStyle w:val="CharPartNo"/>
        </w:rPr>
        <w:t>Part 2</w:t>
      </w:r>
      <w:r>
        <w:t> — </w:t>
      </w:r>
      <w:r>
        <w:rPr>
          <w:rStyle w:val="CharPartText"/>
        </w:rPr>
        <w:t>The Electrical Licensing Board</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3"/>
        <w:rPr>
          <w:snapToGrid w:val="0"/>
        </w:rPr>
      </w:pPr>
      <w:bookmarkStart w:id="53" w:name="_Toc54672565"/>
      <w:bookmarkStart w:id="54" w:name="_Toc77479420"/>
      <w:bookmarkStart w:id="55" w:name="_Toc92790603"/>
      <w:bookmarkStart w:id="56" w:name="_Toc92790737"/>
      <w:bookmarkStart w:id="57" w:name="_Toc92965242"/>
      <w:bookmarkStart w:id="58" w:name="_Toc92965346"/>
      <w:bookmarkStart w:id="59" w:name="_Toc101593791"/>
      <w:bookmarkStart w:id="60" w:name="_Toc112133167"/>
      <w:bookmarkStart w:id="61" w:name="_Toc112151066"/>
      <w:bookmarkStart w:id="62" w:name="_Toc133305745"/>
      <w:bookmarkStart w:id="63" w:name="_Toc135028257"/>
      <w:bookmarkStart w:id="64" w:name="_Toc135121810"/>
      <w:bookmarkStart w:id="65" w:name="_Toc136660995"/>
      <w:bookmarkStart w:id="66" w:name="_Toc136661186"/>
      <w:bookmarkStart w:id="67" w:name="_Toc136662496"/>
      <w:bookmarkStart w:id="68" w:name="_Toc139258253"/>
      <w:bookmarkStart w:id="69" w:name="_Toc170722050"/>
      <w:bookmarkStart w:id="70" w:name="_Toc186871589"/>
      <w:r>
        <w:rPr>
          <w:rStyle w:val="CharDivNo"/>
        </w:rPr>
        <w:t>Division 1</w:t>
      </w:r>
      <w:r>
        <w:rPr>
          <w:snapToGrid w:val="0"/>
        </w:rPr>
        <w:t> — </w:t>
      </w:r>
      <w:r>
        <w:rPr>
          <w:rStyle w:val="CharDivText"/>
        </w:rPr>
        <w:t>The Board</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DivText"/>
        </w:rPr>
        <w:t xml:space="preserve"> </w:t>
      </w:r>
    </w:p>
    <w:p>
      <w:pPr>
        <w:pStyle w:val="Heading5"/>
        <w:rPr>
          <w:snapToGrid w:val="0"/>
        </w:rPr>
      </w:pPr>
      <w:bookmarkStart w:id="71" w:name="_Toc31684938"/>
      <w:bookmarkStart w:id="72" w:name="_Toc92790604"/>
      <w:bookmarkStart w:id="73" w:name="_Toc92965243"/>
      <w:bookmarkStart w:id="74" w:name="_Toc112151067"/>
      <w:bookmarkStart w:id="75" w:name="_Toc186871590"/>
      <w:r>
        <w:rPr>
          <w:rStyle w:val="CharSectno"/>
        </w:rPr>
        <w:t>4</w:t>
      </w:r>
      <w:r>
        <w:rPr>
          <w:snapToGrid w:val="0"/>
        </w:rPr>
        <w:t>.</w:t>
      </w:r>
      <w:r>
        <w:rPr>
          <w:snapToGrid w:val="0"/>
        </w:rPr>
        <w:tab/>
        <w:t>Establishment</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76" w:name="_Toc31684939"/>
      <w:bookmarkStart w:id="77" w:name="_Toc92790605"/>
      <w:bookmarkStart w:id="78" w:name="_Toc92965244"/>
      <w:bookmarkStart w:id="79" w:name="_Toc112151068"/>
      <w:bookmarkStart w:id="80" w:name="_Toc186871591"/>
      <w:r>
        <w:rPr>
          <w:rStyle w:val="CharSectno"/>
        </w:rPr>
        <w:t>5</w:t>
      </w:r>
      <w:r>
        <w:rPr>
          <w:snapToGrid w:val="0"/>
        </w:rPr>
        <w:t>.</w:t>
      </w:r>
      <w:r>
        <w:rPr>
          <w:snapToGrid w:val="0"/>
        </w:rPr>
        <w:tab/>
        <w:t>The Board</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p>
    <w:p>
      <w:pPr>
        <w:pStyle w:val="Indenta"/>
      </w:pPr>
      <w:r>
        <w:tab/>
        <w:t>(d)</w:t>
      </w:r>
      <w:r>
        <w:tab/>
        <w:t>one shall be a person selected by the Minister from a panel consisting of 3 names submitted to the Minister by each approved body that represents the interests of electrical contractors;</w:t>
      </w:r>
    </w:p>
    <w:p>
      <w:pPr>
        <w:pStyle w:val="Indenta"/>
      </w:pPr>
      <w:r>
        <w:tab/>
        <w:t>(e)</w:t>
      </w:r>
      <w:r>
        <w:tab/>
        <w:t>one shall be a person selected by the Minister from a panel consisting of 3 names submitted to the Minister by each approved body that represents the interests of consumers that are large businesses;</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t>“</w:t>
      </w:r>
      <w:r>
        <w:rPr>
          <w:rStyle w:val="CharDefText"/>
        </w:rPr>
        <w:t>approved</w:t>
      </w:r>
      <w:r>
        <w:rPr>
          <w:b/>
        </w:rPr>
        <w:t>”</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is, or has been, the holder of an “A” grade licence for electrical installing work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 restricted electrical licence holders;</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is, or has been, the holder of an “A” grade licence for electrical installing work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4495-7</w:t>
      </w:r>
      <w:r>
        <w:rPr>
          <w:i w:val="0"/>
          <w:iCs/>
        </w:rPr>
        <w:t> </w:t>
      </w:r>
      <w:r>
        <w:rPr>
          <w:i w:val="0"/>
          <w:iCs/>
          <w:vertAlign w:val="superscript"/>
        </w:rPr>
        <w:t>2</w:t>
      </w:r>
      <w:r>
        <w:t xml:space="preserve">.] </w:t>
      </w:r>
    </w:p>
    <w:p>
      <w:pPr>
        <w:pStyle w:val="Heading5"/>
      </w:pPr>
      <w:bookmarkStart w:id="81" w:name="_Toc92790606"/>
      <w:bookmarkStart w:id="82" w:name="_Toc92965245"/>
      <w:bookmarkStart w:id="83" w:name="_Toc112151069"/>
      <w:bookmarkStart w:id="84" w:name="_Toc186871592"/>
      <w:bookmarkStart w:id="85" w:name="_Toc31684941"/>
      <w:r>
        <w:rPr>
          <w:rStyle w:val="CharSectno"/>
        </w:rPr>
        <w:t>6</w:t>
      </w:r>
      <w:r>
        <w:t>.</w:t>
      </w:r>
      <w:r>
        <w:tab/>
        <w:t>Appointments from submissions by approved bodies and from applicants</w:t>
      </w:r>
      <w:bookmarkEnd w:id="81"/>
      <w:bookmarkEnd w:id="82"/>
      <w:bookmarkEnd w:id="83"/>
      <w:bookmarkEnd w:id="84"/>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4497-8.]</w:t>
      </w:r>
    </w:p>
    <w:p>
      <w:pPr>
        <w:pStyle w:val="Heading5"/>
        <w:rPr>
          <w:snapToGrid w:val="0"/>
        </w:rPr>
      </w:pPr>
      <w:bookmarkStart w:id="86" w:name="_Toc92790607"/>
      <w:bookmarkStart w:id="87" w:name="_Toc92965246"/>
      <w:bookmarkStart w:id="88" w:name="_Toc112151070"/>
      <w:bookmarkStart w:id="89" w:name="_Toc186871593"/>
      <w:r>
        <w:rPr>
          <w:rStyle w:val="CharSectno"/>
        </w:rPr>
        <w:t>7</w:t>
      </w:r>
      <w:r>
        <w:rPr>
          <w:snapToGrid w:val="0"/>
        </w:rPr>
        <w:t>.</w:t>
      </w:r>
      <w:r>
        <w:rPr>
          <w:snapToGrid w:val="0"/>
        </w:rPr>
        <w:tab/>
        <w:t>Tenure of office</w:t>
      </w:r>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90" w:name="_Toc31684942"/>
      <w:bookmarkStart w:id="91" w:name="_Toc92790608"/>
      <w:bookmarkStart w:id="92" w:name="_Toc92965247"/>
      <w:bookmarkStart w:id="93" w:name="_Toc112151071"/>
      <w:bookmarkStart w:id="94" w:name="_Toc186871594"/>
      <w:r>
        <w:rPr>
          <w:rStyle w:val="CharSectno"/>
        </w:rPr>
        <w:t>8</w:t>
      </w:r>
      <w:r>
        <w:rPr>
          <w:snapToGrid w:val="0"/>
        </w:rPr>
        <w:t>.</w:t>
      </w:r>
      <w:r>
        <w:rPr>
          <w:snapToGrid w:val="0"/>
        </w:rPr>
        <w:tab/>
        <w:t>Vacation of office</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Heading5"/>
        <w:rPr>
          <w:snapToGrid w:val="0"/>
        </w:rPr>
      </w:pPr>
      <w:bookmarkStart w:id="95" w:name="_Toc31684943"/>
      <w:bookmarkStart w:id="96" w:name="_Toc92790609"/>
      <w:bookmarkStart w:id="97" w:name="_Toc92965248"/>
      <w:bookmarkStart w:id="98" w:name="_Toc112151072"/>
      <w:bookmarkStart w:id="99" w:name="_Toc186871595"/>
      <w:r>
        <w:rPr>
          <w:rStyle w:val="CharSectno"/>
        </w:rPr>
        <w:t>9</w:t>
      </w:r>
      <w:r>
        <w:rPr>
          <w:snapToGrid w:val="0"/>
        </w:rPr>
        <w:t>.</w:t>
      </w:r>
      <w:r>
        <w:rPr>
          <w:snapToGrid w:val="0"/>
        </w:rPr>
        <w:tab/>
        <w:t>Acting members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00" w:name="_Toc31684944"/>
      <w:bookmarkStart w:id="101" w:name="_Toc92790610"/>
      <w:bookmarkStart w:id="102" w:name="_Toc92965249"/>
      <w:bookmarkStart w:id="103" w:name="_Toc112151073"/>
      <w:bookmarkStart w:id="104" w:name="_Toc186871596"/>
      <w:r>
        <w:rPr>
          <w:rStyle w:val="CharSectno"/>
        </w:rPr>
        <w:t>10</w:t>
      </w:r>
      <w:r>
        <w:rPr>
          <w:snapToGrid w:val="0"/>
        </w:rPr>
        <w:t>.</w:t>
      </w:r>
      <w:r>
        <w:rPr>
          <w:snapToGrid w:val="0"/>
        </w:rPr>
        <w:tab/>
        <w:t>Meetings</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105"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pPr>
      <w:r>
        <w:tab/>
        <w:t>[Regulation 10 amended in Gazette 24 Oct 2003 p. 4498-9.]</w:t>
      </w:r>
    </w:p>
    <w:p>
      <w:pPr>
        <w:pStyle w:val="Heading5"/>
        <w:rPr>
          <w:snapToGrid w:val="0"/>
        </w:rPr>
      </w:pPr>
      <w:bookmarkStart w:id="106" w:name="_Toc92790611"/>
      <w:bookmarkStart w:id="107" w:name="_Toc92965250"/>
      <w:bookmarkStart w:id="108" w:name="_Toc112151074"/>
      <w:bookmarkStart w:id="109" w:name="_Toc186871597"/>
      <w:r>
        <w:rPr>
          <w:rStyle w:val="CharSectno"/>
        </w:rPr>
        <w:t>11</w:t>
      </w:r>
      <w:r>
        <w:rPr>
          <w:snapToGrid w:val="0"/>
        </w:rPr>
        <w:t>.</w:t>
      </w:r>
      <w:r>
        <w:rPr>
          <w:snapToGrid w:val="0"/>
        </w:rPr>
        <w:tab/>
        <w:t>Procedures</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10" w:name="_Toc31684946"/>
      <w:bookmarkStart w:id="111" w:name="_Toc92790612"/>
      <w:bookmarkStart w:id="112" w:name="_Toc92965251"/>
      <w:bookmarkStart w:id="113" w:name="_Toc112151075"/>
      <w:bookmarkStart w:id="114" w:name="_Toc186871598"/>
      <w:r>
        <w:rPr>
          <w:rStyle w:val="CharSectno"/>
        </w:rPr>
        <w:t>12</w:t>
      </w:r>
      <w:r>
        <w:rPr>
          <w:snapToGrid w:val="0"/>
        </w:rPr>
        <w:t>.</w:t>
      </w:r>
      <w:r>
        <w:rPr>
          <w:snapToGrid w:val="0"/>
        </w:rPr>
        <w:tab/>
        <w:t>Remuneration and allowances</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Minister to whom the administration of the </w:t>
      </w:r>
      <w:r>
        <w:rPr>
          <w:i/>
          <w:snapToGrid w:val="0"/>
        </w:rPr>
        <w:t>Public Sector Management Act 1994</w:t>
      </w:r>
      <w:r>
        <w:rPr>
          <w:snapToGrid w:val="0"/>
        </w:rPr>
        <w:t xml:space="preserve"> is committed, from time to time determines.</w:t>
      </w:r>
    </w:p>
    <w:p>
      <w:pPr>
        <w:pStyle w:val="Footnotesection"/>
      </w:pPr>
      <w:r>
        <w:tab/>
        <w:t xml:space="preserve">[Regulation 12 amended in Gazette 23 Dec 1994 p. 7134.] </w:t>
      </w:r>
    </w:p>
    <w:p>
      <w:pPr>
        <w:pStyle w:val="Heading5"/>
        <w:rPr>
          <w:snapToGrid w:val="0"/>
        </w:rPr>
      </w:pPr>
      <w:bookmarkStart w:id="115" w:name="_Toc31684947"/>
      <w:bookmarkStart w:id="116" w:name="_Toc92790613"/>
      <w:bookmarkStart w:id="117" w:name="_Toc92965252"/>
      <w:bookmarkStart w:id="118" w:name="_Toc112151076"/>
      <w:bookmarkStart w:id="119" w:name="_Toc186871599"/>
      <w:r>
        <w:rPr>
          <w:rStyle w:val="CharSectno"/>
        </w:rPr>
        <w:t>13</w:t>
      </w:r>
      <w:r>
        <w:rPr>
          <w:snapToGrid w:val="0"/>
        </w:rPr>
        <w:t>.</w:t>
      </w:r>
      <w:r>
        <w:rPr>
          <w:snapToGrid w:val="0"/>
        </w:rPr>
        <w:tab/>
        <w:t>Functions of the Board</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Without derogating from anything in subregulation (2), the primary function of the Board under this regulation is the determination of competence of applicants for, and holders of, licences and permits issued under these regulations and in carrying out its functions under this regulation the Board — </w:t>
      </w:r>
    </w:p>
    <w:p>
      <w:pPr>
        <w:pStyle w:val="Indenta"/>
        <w:rPr>
          <w:snapToGrid w:val="0"/>
        </w:rPr>
      </w:pPr>
      <w:r>
        <w:rPr>
          <w:snapToGrid w:val="0"/>
        </w:rPr>
        <w:tab/>
        <w:t>(a)</w:t>
      </w:r>
      <w:r>
        <w:rPr>
          <w:snapToGrid w:val="0"/>
        </w:rPr>
        <w:tab/>
        <w:t>shall act according to equity, good conscience and the substantial merits of the case;</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rPr>
          <w:snapToGrid w:val="0"/>
        </w:rPr>
      </w:pPr>
      <w:r>
        <w:rPr>
          <w:snapToGrid w:val="0"/>
        </w:rPr>
        <w:tab/>
        <w:t>(2)</w:t>
      </w:r>
      <w:r>
        <w:rPr>
          <w:snapToGrid w:val="0"/>
        </w:rPr>
        <w:tab/>
        <w:t>In addition to the other functions conferred on the Board by these regulations it is the function of the Board — </w:t>
      </w:r>
    </w:p>
    <w:p>
      <w:pPr>
        <w:pStyle w:val="Indenta"/>
        <w:rPr>
          <w:snapToGrid w:val="0"/>
        </w:rPr>
      </w:pPr>
      <w:r>
        <w:rPr>
          <w:snapToGrid w:val="0"/>
        </w:rPr>
        <w:tab/>
        <w:t>(a)</w:t>
      </w:r>
      <w:r>
        <w:rPr>
          <w:snapToGrid w:val="0"/>
        </w:rPr>
        <w:tab/>
        <w:t>to make enquiries relating to licensing of persons for electrical work and electrical contracting;</w:t>
      </w:r>
    </w:p>
    <w:p>
      <w:pPr>
        <w:pStyle w:val="Indenta"/>
        <w:rPr>
          <w:snapToGrid w:val="0"/>
        </w:rPr>
      </w:pPr>
      <w:r>
        <w:rPr>
          <w:snapToGrid w:val="0"/>
        </w:rPr>
        <w:tab/>
        <w:t>(b)</w:t>
      </w:r>
      <w:r>
        <w:rPr>
          <w:snapToGrid w:val="0"/>
        </w:rPr>
        <w:tab/>
        <w:t>to keep under review, and to advise the Minister and the Director on matters relating to the safety of electrical workers and other persons;</w:t>
      </w:r>
    </w:p>
    <w:p>
      <w:pPr>
        <w:pStyle w:val="Indenta"/>
        <w:rPr>
          <w:snapToGrid w:val="0"/>
        </w:rPr>
      </w:pPr>
      <w:r>
        <w:rPr>
          <w:snapToGrid w:val="0"/>
        </w:rPr>
        <w:tab/>
        <w:t>(c)</w:t>
      </w:r>
      <w:r>
        <w:rPr>
          <w:snapToGrid w:val="0"/>
        </w:rPr>
        <w:tab/>
        <w:t>to keep under review matters relating to the qualifications of, and the licensing or other regulation of, electrical workers and electrical contractors;</w:t>
      </w:r>
    </w:p>
    <w:p>
      <w:pPr>
        <w:pStyle w:val="Indenta"/>
        <w:rPr>
          <w:snapToGrid w:val="0"/>
        </w:rPr>
      </w:pPr>
      <w:r>
        <w:rPr>
          <w:snapToGrid w:val="0"/>
        </w:rPr>
        <w:tab/>
        <w:t>(d)</w:t>
      </w:r>
      <w:r>
        <w:rPr>
          <w:snapToGrid w:val="0"/>
        </w:rPr>
        <w:tab/>
        <w:t>to conduct or arrange for the conduct of examinations for the purposes of determining and assessing the competence and proficiency of persons holding licences or permits or applying for the grant of licences or permits;</w:t>
      </w:r>
    </w:p>
    <w:p>
      <w:pPr>
        <w:pStyle w:val="Indenta"/>
        <w:rPr>
          <w:snapToGrid w:val="0"/>
        </w:rPr>
      </w:pPr>
      <w:r>
        <w:rPr>
          <w:snapToGrid w:val="0"/>
        </w:rPr>
        <w:tab/>
        <w:t>(e)</w:t>
      </w:r>
      <w:r>
        <w:rPr>
          <w:snapToGrid w:val="0"/>
        </w:rPr>
        <w:tab/>
        <w:t>to make enquiries for the purposes of determining and assessing the competence, suitability and proficiency of persons applying for the grant of licences or permits and determining the competence, suitability and proficiency of persons holding licences or permits, to continue to hold licences or permits;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to advise the Minister and the Director on any matter upon which advice is requested or on any other matter connected with the administration of these regulations; and</w:t>
      </w:r>
    </w:p>
    <w:p>
      <w:pPr>
        <w:pStyle w:val="Indenta"/>
        <w:rPr>
          <w:snapToGrid w:val="0"/>
        </w:rPr>
      </w:pPr>
      <w:r>
        <w:rPr>
          <w:snapToGrid w:val="0"/>
        </w:rPr>
        <w:tab/>
        <w:t>(h)</w:t>
      </w:r>
      <w:r>
        <w:rPr>
          <w:snapToGrid w:val="0"/>
        </w:rPr>
        <w:tab/>
        <w:t>to carry out any other functions conferred on it by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Footnotesection"/>
      </w:pPr>
      <w:r>
        <w:tab/>
        <w:t xml:space="preserve">[Regulation 13 amended in Gazette 23 Dec 1994 p. 7134; 6 Sep 1996 p. 4411; 30 Dec 2004 p. 6990.] </w:t>
      </w:r>
    </w:p>
    <w:p>
      <w:pPr>
        <w:pStyle w:val="Heading5"/>
        <w:rPr>
          <w:snapToGrid w:val="0"/>
        </w:rPr>
      </w:pPr>
      <w:bookmarkStart w:id="120" w:name="_Toc31684948"/>
      <w:bookmarkStart w:id="121" w:name="_Toc92790614"/>
      <w:bookmarkStart w:id="122" w:name="_Toc92965253"/>
      <w:bookmarkStart w:id="123" w:name="_Toc112151077"/>
      <w:bookmarkStart w:id="124" w:name="_Toc186871600"/>
      <w:r>
        <w:rPr>
          <w:rStyle w:val="CharSectno"/>
        </w:rPr>
        <w:t>14</w:t>
      </w:r>
      <w:r>
        <w:rPr>
          <w:snapToGrid w:val="0"/>
        </w:rPr>
        <w:t>.</w:t>
      </w:r>
      <w:r>
        <w:rPr>
          <w:snapToGrid w:val="0"/>
        </w:rPr>
        <w:tab/>
        <w:t>Executive officer and other officers</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Ednotedivision"/>
      </w:pPr>
      <w:r>
        <w:t>[Divisions 2 and 3 (r. 15-18) repealed in Gazette 30 Dec 2004 p. 6990.]</w:t>
      </w:r>
    </w:p>
    <w:p>
      <w:pPr>
        <w:pStyle w:val="Heading2"/>
      </w:pPr>
      <w:bookmarkStart w:id="125" w:name="_Toc54672584"/>
      <w:bookmarkStart w:id="126" w:name="_Toc77479438"/>
      <w:bookmarkStart w:id="127" w:name="_Toc92790621"/>
      <w:bookmarkStart w:id="128" w:name="_Toc92790755"/>
      <w:bookmarkStart w:id="129" w:name="_Toc92965254"/>
      <w:bookmarkStart w:id="130" w:name="_Toc92965358"/>
      <w:bookmarkStart w:id="131" w:name="_Toc101593803"/>
      <w:bookmarkStart w:id="132" w:name="_Toc112133179"/>
      <w:bookmarkStart w:id="133" w:name="_Toc112151078"/>
      <w:bookmarkStart w:id="134" w:name="_Toc133305757"/>
      <w:bookmarkStart w:id="135" w:name="_Toc135028269"/>
      <w:bookmarkStart w:id="136" w:name="_Toc135121822"/>
      <w:bookmarkStart w:id="137" w:name="_Toc136661007"/>
      <w:bookmarkStart w:id="138" w:name="_Toc136661198"/>
      <w:bookmarkStart w:id="139" w:name="_Toc136662508"/>
      <w:bookmarkStart w:id="140" w:name="_Toc139258265"/>
      <w:bookmarkStart w:id="141" w:name="_Toc170722062"/>
      <w:bookmarkStart w:id="142" w:name="_Toc186871601"/>
      <w:r>
        <w:rPr>
          <w:rStyle w:val="CharPartNo"/>
        </w:rPr>
        <w:t>Part 3</w:t>
      </w:r>
      <w:r>
        <w:rPr>
          <w:rStyle w:val="CharDivNo"/>
        </w:rPr>
        <w:t> </w:t>
      </w:r>
      <w:r>
        <w:t>—</w:t>
      </w:r>
      <w:r>
        <w:rPr>
          <w:rStyle w:val="CharDivText"/>
        </w:rPr>
        <w:t> </w:t>
      </w:r>
      <w:r>
        <w:rPr>
          <w:rStyle w:val="CharPartText"/>
        </w:rPr>
        <w:t>Licensing of electrical workers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92790622"/>
      <w:bookmarkStart w:id="144" w:name="_Toc92965255"/>
      <w:bookmarkStart w:id="145" w:name="_Toc112151079"/>
      <w:bookmarkStart w:id="146" w:name="_Toc186871602"/>
      <w:r>
        <w:rPr>
          <w:rStyle w:val="CharSectno"/>
        </w:rPr>
        <w:t>19</w:t>
      </w:r>
      <w:r>
        <w:rPr>
          <w:snapToGrid w:val="0"/>
        </w:rPr>
        <w:t>.</w:t>
      </w:r>
      <w:r>
        <w:rPr>
          <w:snapToGrid w:val="0"/>
        </w:rPr>
        <w:tab/>
        <w:t>Electrical work prohibited unless authorised</w:t>
      </w:r>
      <w:bookmarkEnd w:id="143"/>
      <w:bookmarkEnd w:id="144"/>
      <w:bookmarkEnd w:id="145"/>
      <w:bookmarkEnd w:id="146"/>
    </w:p>
    <w:p>
      <w:pPr>
        <w:pStyle w:val="Subsection"/>
        <w:rPr>
          <w:snapToGrid w:val="0"/>
        </w:rPr>
      </w:pPr>
      <w:r>
        <w:rPr>
          <w:snapToGrid w:val="0"/>
        </w:rPr>
        <w:tab/>
        <w:t>(1)</w:t>
      </w:r>
      <w:r>
        <w:rPr>
          <w:snapToGrid w:val="0"/>
        </w:rPr>
        <w:tab/>
        <w:t>Subject to this regulation, a person who, on or after the appointed day,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to work carried out on a communications or computer system, or a radio or television transmitter or receiver but does apply to an electricity supply circuit thereto having a nominal pressure exceeding 50 volts alternating current or 115 volts direct current;</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w:t>
      </w:r>
    </w:p>
    <w:p>
      <w:pPr>
        <w:pStyle w:val="Indenta"/>
        <w:rPr>
          <w:snapToGrid w:val="0"/>
        </w:rPr>
      </w:pPr>
      <w:r>
        <w:rPr>
          <w:snapToGrid w:val="0"/>
        </w:rPr>
        <w:tab/>
        <w:t>(c)</w:t>
      </w:r>
      <w:r>
        <w:rPr>
          <w:snapToGrid w:val="0"/>
        </w:rPr>
        <w:tab/>
        <w:t>to work carried out on poles, towers and overhead lines including the final connection and testing of circuits by persons trained in electrical linework;</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w:t>
      </w:r>
    </w:p>
    <w:p>
      <w:pPr>
        <w:pStyle w:val="Indenta"/>
        <w:rPr>
          <w:snapToGrid w:val="0"/>
        </w:rPr>
      </w:pPr>
      <w:r>
        <w:rPr>
          <w:snapToGrid w:val="0"/>
        </w:rPr>
        <w:tab/>
        <w:t>(e)</w:t>
      </w:r>
      <w:r>
        <w:rPr>
          <w:snapToGrid w:val="0"/>
        </w:rPr>
        <w:tab/>
        <w:t>to work carried out on any supply authority service apparatus by a person authorised by the relevant supply authority;</w:t>
      </w:r>
    </w:p>
    <w:p>
      <w:pPr>
        <w:pStyle w:val="Indenta"/>
        <w:rPr>
          <w:snapToGrid w:val="0"/>
        </w:rPr>
      </w:pPr>
      <w:r>
        <w:rPr>
          <w:snapToGrid w:val="0"/>
        </w:rPr>
        <w:tab/>
        <w:t>(f)</w:t>
      </w:r>
      <w:r>
        <w:rPr>
          <w:snapToGrid w:val="0"/>
        </w:rPr>
        <w:tab/>
        <w:t>to the installation of poles, towers and overhead lines not involving the final connection or testing of circuits;</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w:t>
      </w:r>
    </w:p>
    <w:p>
      <w:pPr>
        <w:pStyle w:val="Indenta"/>
        <w:rPr>
          <w:snapToGrid w:val="0"/>
        </w:rPr>
      </w:pPr>
      <w:r>
        <w:rPr>
          <w:snapToGrid w:val="0"/>
        </w:rPr>
        <w:tab/>
        <w:t>(h)</w:t>
      </w:r>
      <w:r>
        <w:rPr>
          <w:snapToGrid w:val="0"/>
        </w:rPr>
        <w:tab/>
        <w:t>to the affixing of a plug, electrical appliance plug or cord extension socket to a flexible cord used or intended to be used to connect an electrical appliance to a plug socket outlet through which electricity is supplied or to be supplied at a nominal pressure not exceeding 250 volts unless carried out by a person for gain or reward or in the course of employment;</w:t>
      </w:r>
    </w:p>
    <w:p>
      <w:pPr>
        <w:pStyle w:val="Indenta"/>
        <w:rPr>
          <w:snapToGrid w:val="0"/>
        </w:rPr>
      </w:pPr>
      <w:r>
        <w:rPr>
          <w:snapToGrid w:val="0"/>
        </w:rPr>
        <w:tab/>
        <w:t>(i)</w:t>
      </w:r>
      <w:r>
        <w:rPr>
          <w:snapToGrid w:val="0"/>
        </w:rPr>
        <w:tab/>
        <w:t>to work done in the course of training for a restricted licence if the work is done under the supervision of a person who holds an “A” grade licence or a restricted licence that authorises the holder of the licence to carry out electrical work of the kind to be done by the person under supervision;</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w:t>
      </w:r>
    </w:p>
    <w:p>
      <w:pPr>
        <w:pStyle w:val="Indenta"/>
        <w:rPr>
          <w:snapToGrid w:val="0"/>
        </w:rPr>
      </w:pPr>
      <w:r>
        <w:rPr>
          <w:snapToGrid w:val="0"/>
        </w:rPr>
        <w:tab/>
        <w:t>(k)</w:t>
      </w:r>
      <w:r>
        <w:rPr>
          <w:snapToGrid w:val="0"/>
        </w:rPr>
        <w:tab/>
        <w:t xml:space="preserve">to such other kinds of work of a specialized nature as the Director declares, by order published in the </w:t>
      </w:r>
      <w:r>
        <w:rPr>
          <w:i/>
          <w:snapToGrid w:val="0"/>
        </w:rPr>
        <w:t>Gazette</w:t>
      </w:r>
      <w:r>
        <w:rPr>
          <w:snapToGrid w:val="0"/>
        </w:rPr>
        <w:t>, to be work that may be carried out by persons not holding a licence or permit; and</w:t>
      </w:r>
    </w:p>
    <w:p>
      <w:pPr>
        <w:pStyle w:val="Indenta"/>
        <w:rPr>
          <w:snapToGrid w:val="0"/>
        </w:rPr>
      </w:pPr>
      <w:r>
        <w:rPr>
          <w:snapToGrid w:val="0"/>
        </w:rPr>
        <w:tab/>
        <w:t>(l)</w:t>
      </w:r>
      <w:r>
        <w:rPr>
          <w:snapToGrid w:val="0"/>
        </w:rPr>
        <w:tab/>
        <w:t>to the installation of electric fences for security or stock control purposes (but does apply to the installation of an electricity supply circuit, having a nominal pressure exceeding 50 volts alternating current or 115 volts direct current, to such a fence).</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pPr>
      <w:r>
        <w:tab/>
        <w:t xml:space="preserve">[Regulation 19 amended in Gazette 23 Dec 1994 p. 7134 and 7135; 6 Sep 1996 p. 4412.] </w:t>
      </w:r>
    </w:p>
    <w:p>
      <w:pPr>
        <w:pStyle w:val="Heading5"/>
        <w:rPr>
          <w:snapToGrid w:val="0"/>
        </w:rPr>
      </w:pPr>
      <w:bookmarkStart w:id="147" w:name="_Toc31684954"/>
      <w:bookmarkStart w:id="148" w:name="_Toc92790623"/>
      <w:bookmarkStart w:id="149" w:name="_Toc92965256"/>
      <w:bookmarkStart w:id="150" w:name="_Toc112151080"/>
      <w:bookmarkStart w:id="151" w:name="_Toc186871603"/>
      <w:r>
        <w:rPr>
          <w:rStyle w:val="CharSectno"/>
        </w:rPr>
        <w:t>20</w:t>
      </w:r>
      <w:r>
        <w:rPr>
          <w:snapToGrid w:val="0"/>
        </w:rPr>
        <w:t>.</w:t>
      </w:r>
      <w:r>
        <w:rPr>
          <w:snapToGrid w:val="0"/>
        </w:rPr>
        <w:tab/>
        <w:t>Effect of licence</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An electrical worker’s licence shall be endorsed as an “A” grade licence (electrical mechanic, or, electrical fitter, or both), a “C” grade licence or a restricted licence according to the qualifications of the person in question.</w:t>
      </w:r>
    </w:p>
    <w:p>
      <w:pPr>
        <w:pStyle w:val="Subsection"/>
        <w:rPr>
          <w:snapToGrid w:val="0"/>
        </w:rPr>
      </w:pPr>
      <w:r>
        <w:rPr>
          <w:snapToGrid w:val="0"/>
        </w:rPr>
        <w:tab/>
        <w:t>(2)</w:t>
      </w:r>
      <w:r>
        <w:rPr>
          <w:snapToGrid w:val="0"/>
        </w:rPr>
        <w:tab/>
        <w:t>An electrical worker’s licence endorsed as an electrical mechanic’s licence authorises the holder of the licence to carry out electrical installing work and an electrical worker’s licence endorsed as an electrical fitter’s licence authorises the holder of the licence to carry out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“A” grade licence, the work authorised by the licence may be carried out without supervision;</w:t>
      </w:r>
    </w:p>
    <w:p>
      <w:pPr>
        <w:pStyle w:val="Indenta"/>
        <w:rPr>
          <w:snapToGrid w:val="0"/>
        </w:rPr>
      </w:pPr>
      <w:r>
        <w:rPr>
          <w:snapToGrid w:val="0"/>
        </w:rPr>
        <w:tab/>
        <w:t>(b)</w:t>
      </w:r>
      <w:r>
        <w:rPr>
          <w:snapToGrid w:val="0"/>
        </w:rPr>
        <w:tab/>
        <w:t>a “C” grade licence, the work authorised by the licence shall be effectively supervised in accordance with regulation 50(4) by the holder of an “A” grade licence of that kind.</w:t>
      </w:r>
    </w:p>
    <w:p>
      <w:pPr>
        <w:pStyle w:val="Subsection"/>
        <w:spacing w:before="120"/>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 subject to such restrictions and conditions as are specified in the licence.</w:t>
      </w:r>
    </w:p>
    <w:p>
      <w:pPr>
        <w:pStyle w:val="Subsection"/>
        <w:spacing w:before="120"/>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 xml:space="preserve">[Regulation 20 amended in Gazette 6 Sep 1996 p. 4413.] </w:t>
      </w:r>
    </w:p>
    <w:p>
      <w:pPr>
        <w:pStyle w:val="Heading5"/>
        <w:spacing w:before="180"/>
        <w:rPr>
          <w:snapToGrid w:val="0"/>
        </w:rPr>
      </w:pPr>
      <w:bookmarkStart w:id="152" w:name="_Toc31684955"/>
      <w:bookmarkStart w:id="153" w:name="_Toc92790624"/>
      <w:bookmarkStart w:id="154" w:name="_Toc92965257"/>
      <w:bookmarkStart w:id="155" w:name="_Toc112151081"/>
      <w:bookmarkStart w:id="156" w:name="_Toc186871604"/>
      <w:r>
        <w:rPr>
          <w:rStyle w:val="CharSectno"/>
        </w:rPr>
        <w:t>21</w:t>
      </w:r>
      <w:r>
        <w:rPr>
          <w:snapToGrid w:val="0"/>
        </w:rPr>
        <w:t>.</w:t>
      </w:r>
      <w:r>
        <w:rPr>
          <w:snapToGrid w:val="0"/>
        </w:rPr>
        <w:tab/>
        <w:t>Effect of permit</w:t>
      </w:r>
      <w:bookmarkEnd w:id="152"/>
      <w:bookmarkEnd w:id="153"/>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spacing w:before="120"/>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spacing w:before="180"/>
        <w:rPr>
          <w:snapToGrid w:val="0"/>
        </w:rPr>
      </w:pPr>
      <w:bookmarkStart w:id="157" w:name="_Toc31684956"/>
      <w:bookmarkStart w:id="158" w:name="_Toc92790625"/>
      <w:bookmarkStart w:id="159" w:name="_Toc92965258"/>
      <w:bookmarkStart w:id="160" w:name="_Toc112151082"/>
      <w:bookmarkStart w:id="161" w:name="_Toc186871605"/>
      <w:r>
        <w:rPr>
          <w:rStyle w:val="CharSectno"/>
        </w:rPr>
        <w:t>22</w:t>
      </w:r>
      <w:r>
        <w:rPr>
          <w:snapToGrid w:val="0"/>
        </w:rPr>
        <w:t>.</w:t>
      </w:r>
      <w:r>
        <w:rPr>
          <w:snapToGrid w:val="0"/>
        </w:rPr>
        <w:tab/>
        <w:t>Eligibility for licence</w:t>
      </w:r>
      <w:bookmarkEnd w:id="157"/>
      <w:bookmarkEnd w:id="158"/>
      <w:bookmarkEnd w:id="159"/>
      <w:bookmarkEnd w:id="160"/>
      <w:bookmarkEnd w:id="161"/>
      <w:r>
        <w:rPr>
          <w:snapToGrid w:val="0"/>
        </w:rPr>
        <w:t xml:space="preserve"> </w:t>
      </w:r>
    </w:p>
    <w:p>
      <w:pPr>
        <w:pStyle w:val="Subsection"/>
        <w:spacing w:before="120"/>
        <w:rPr>
          <w:snapToGrid w:val="0"/>
        </w:rPr>
      </w:pPr>
      <w:r>
        <w:rPr>
          <w:snapToGrid w:val="0"/>
        </w:rPr>
        <w:tab/>
        <w:t>(1)</w:t>
      </w:r>
      <w:r>
        <w:rPr>
          <w:snapToGrid w:val="0"/>
        </w:rPr>
        <w:tab/>
        <w:t>An electrical worker’s licence endorsed as “A” grade (electrical mechanic, or, electrical fitter, or both) shall not be issued to a person unless that person — </w:t>
      </w:r>
    </w:p>
    <w:p>
      <w:pPr>
        <w:pStyle w:val="Indenta"/>
        <w:rPr>
          <w:snapToGrid w:val="0"/>
        </w:rPr>
      </w:pPr>
      <w:r>
        <w:rPr>
          <w:snapToGrid w:val="0"/>
        </w:rPr>
        <w:tab/>
        <w:t>(a)</w:t>
      </w:r>
      <w:r>
        <w:rPr>
          <w:snapToGrid w:val="0"/>
        </w:rPr>
        <w:tab/>
        <w:t>has successfully completed service under — </w:t>
      </w:r>
    </w:p>
    <w:p>
      <w:pPr>
        <w:pStyle w:val="Indenti"/>
        <w:rPr>
          <w:snapToGrid w:val="0"/>
        </w:rPr>
      </w:pPr>
      <w:r>
        <w:rPr>
          <w:snapToGrid w:val="0"/>
        </w:rPr>
        <w:tab/>
        <w:t>(i)</w:t>
      </w:r>
      <w:r>
        <w:rPr>
          <w:snapToGrid w:val="0"/>
        </w:rPr>
        <w:tab/>
        <w:t xml:space="preserve">an apprenticeship under the </w:t>
      </w:r>
      <w:r>
        <w:rPr>
          <w:i/>
          <w:snapToGrid w:val="0"/>
        </w:rPr>
        <w:t>Industrial Training Act 1975</w:t>
      </w:r>
      <w:r>
        <w:rPr>
          <w:snapToGrid w:val="0"/>
        </w:rPr>
        <w:t xml:space="preserve"> in electrical installing work or electrical fitting work, as the case requires; or</w:t>
      </w:r>
    </w:p>
    <w:p>
      <w:pPr>
        <w:pStyle w:val="Indenti"/>
        <w:rPr>
          <w:snapToGrid w:val="0"/>
        </w:rPr>
      </w:pPr>
      <w:r>
        <w:rPr>
          <w:snapToGrid w:val="0"/>
        </w:rPr>
        <w:tab/>
        <w:t>(ii)</w:t>
      </w:r>
      <w:r>
        <w:rPr>
          <w:snapToGrid w:val="0"/>
        </w:rPr>
        <w:tab/>
        <w:t>a skills formation program recognized by the Department of Training as being of a standard appropriate to the training of a tradesperson engaged in electrical installing work or electrical fitting work, as the case requires,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w:t>
      </w:r>
    </w:p>
    <w:p>
      <w:pPr>
        <w:pStyle w:val="Indenta"/>
        <w:rPr>
          <w:snapToGrid w:val="0"/>
        </w:rPr>
      </w:pPr>
      <w:r>
        <w:rPr>
          <w:snapToGrid w:val="0"/>
        </w:rPr>
        <w:tab/>
        <w:t>(b)</w:t>
      </w:r>
      <w:r>
        <w:rPr>
          <w:snapToGrid w:val="0"/>
        </w:rPr>
        <w:tab/>
        <w:t>subject to subregulation (2), has had training in electrical installing work or electrical fitting work, as the case requires,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p>
    <w:p>
      <w:pPr>
        <w:pStyle w:val="Subsection"/>
        <w:rPr>
          <w:snapToGrid w:val="0"/>
        </w:rPr>
      </w:pPr>
      <w:r>
        <w:rPr>
          <w:snapToGrid w:val="0"/>
        </w:rPr>
        <w:tab/>
        <w:t>(2)</w:t>
      </w:r>
      <w:r>
        <w:rPr>
          <w:snapToGrid w:val="0"/>
        </w:rPr>
        <w:tab/>
        <w:t>The Board shall not issue a licence to a person referred to in subregulation (1)(b) or (c) unless that person has passed such examinations as are required or recognized by the Board in each kind of electrical work authorised by the licence to be carried out or has been exempted by the Board from the requirement to pass such examination.</w:t>
      </w:r>
    </w:p>
    <w:p>
      <w:pPr>
        <w:pStyle w:val="Subsection"/>
        <w:rPr>
          <w:snapToGrid w:val="0"/>
        </w:rPr>
      </w:pPr>
      <w:r>
        <w:rPr>
          <w:snapToGrid w:val="0"/>
        </w:rPr>
        <w:tab/>
        <w:t>(3)</w:t>
      </w:r>
      <w:r>
        <w:rPr>
          <w:snapToGrid w:val="0"/>
        </w:rPr>
        <w:tab/>
        <w:t>A licence endorsed as “C” grade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has entered into an apprenticeship in electrical installing work or electrical fitting work; or</w:t>
      </w:r>
    </w:p>
    <w:p>
      <w:pPr>
        <w:pStyle w:val="Indenta"/>
        <w:rPr>
          <w:snapToGrid w:val="0"/>
        </w:rPr>
      </w:pPr>
      <w:r>
        <w:rPr>
          <w:snapToGrid w:val="0"/>
        </w:rPr>
        <w:tab/>
        <w:t>(b)</w:t>
      </w:r>
      <w:r>
        <w:rPr>
          <w:snapToGrid w:val="0"/>
        </w:rPr>
        <w:tab/>
        <w:t>has entered into a course of training in electrical work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 as may be conducted by, or recognized by, the Board for the purposes of this paragraph in the kind of electrical work authorised by the licence to be carried out.</w:t>
      </w:r>
    </w:p>
    <w:p>
      <w:pPr>
        <w:pStyle w:val="Subsection"/>
        <w:rPr>
          <w:snapToGrid w:val="0"/>
        </w:rPr>
      </w:pPr>
      <w:r>
        <w:rPr>
          <w:snapToGrid w:val="0"/>
        </w:rPr>
        <w:tab/>
        <w:t>(5)</w:t>
      </w:r>
      <w:r>
        <w:rPr>
          <w:snapToGrid w:val="0"/>
        </w:rPr>
        <w:tab/>
        <w:t>A person who is required to undertake an examination under this regulation shall pay such examination fees — </w:t>
      </w:r>
    </w:p>
    <w:p>
      <w:pPr>
        <w:pStyle w:val="Indenta"/>
        <w:rPr>
          <w:snapToGrid w:val="0"/>
        </w:rPr>
      </w:pPr>
      <w:r>
        <w:rPr>
          <w:snapToGrid w:val="0"/>
        </w:rPr>
        <w:tab/>
        <w:t>(a)</w:t>
      </w:r>
      <w:r>
        <w:rPr>
          <w:snapToGrid w:val="0"/>
        </w:rPr>
        <w:tab/>
        <w:t>if the examination is conducted by the Board, as are determined by the Director; or</w:t>
      </w:r>
    </w:p>
    <w:p>
      <w:pPr>
        <w:pStyle w:val="Indenta"/>
        <w:rPr>
          <w:snapToGrid w:val="0"/>
        </w:rPr>
      </w:pPr>
      <w:r>
        <w:rPr>
          <w:snapToGrid w:val="0"/>
        </w:rPr>
        <w:tab/>
        <w:t>(b)</w:t>
      </w:r>
      <w:r>
        <w:rPr>
          <w:snapToGrid w:val="0"/>
        </w:rPr>
        <w:tab/>
        <w:t>if the examination is conducted by a body approved by the Director to do so, as are determined by the body.</w:t>
      </w:r>
    </w:p>
    <w:p>
      <w:pPr>
        <w:pStyle w:val="Subsection"/>
        <w:rPr>
          <w:snapToGrid w:val="0"/>
        </w:rPr>
      </w:pPr>
      <w:r>
        <w:rPr>
          <w:snapToGrid w:val="0"/>
        </w:rPr>
        <w:tab/>
        <w:t>(6)</w:t>
      </w:r>
      <w:r>
        <w:rPr>
          <w:snapToGrid w:val="0"/>
        </w:rPr>
        <w:tab/>
        <w:t>In subregulation (1)(a)(ii) — </w:t>
      </w:r>
    </w:p>
    <w:p>
      <w:pPr>
        <w:pStyle w:val="Defstart"/>
      </w:pPr>
      <w:r>
        <w:rPr>
          <w:b/>
        </w:rPr>
        <w:tab/>
        <w:t>“</w:t>
      </w:r>
      <w:r>
        <w:rPr>
          <w:rStyle w:val="CharDefText"/>
        </w:rPr>
        <w:t>Department of Training</w:t>
      </w:r>
      <w:r>
        <w:rPr>
          <w:b/>
        </w:rPr>
        <w:t>”</w:t>
      </w:r>
      <w:r>
        <w:t xml:space="preserve"> means the department of the Public Service principally assisting the Minister to whom the administration of the </w:t>
      </w:r>
      <w:r>
        <w:rPr>
          <w:i/>
        </w:rPr>
        <w:t>Industrial Training Act 1975</w:t>
      </w:r>
      <w:r>
        <w:t xml:space="preserve"> is for the time being committed by the Governor in the administration of that Act.</w:t>
      </w:r>
    </w:p>
    <w:p>
      <w:pPr>
        <w:pStyle w:val="Footnotesection"/>
      </w:pPr>
      <w:r>
        <w:tab/>
        <w:t>[Regulation 22 amended in Gazette 23 Dec 1994 p. 7134; 6 Sep 1996 p. 4413</w:t>
      </w:r>
      <w:r>
        <w:noBreakHyphen/>
        <w:t xml:space="preserve">14.] </w:t>
      </w:r>
    </w:p>
    <w:p>
      <w:pPr>
        <w:pStyle w:val="Heading5"/>
        <w:rPr>
          <w:snapToGrid w:val="0"/>
        </w:rPr>
      </w:pPr>
      <w:bookmarkStart w:id="162" w:name="_Toc31684957"/>
      <w:bookmarkStart w:id="163" w:name="_Toc92790626"/>
      <w:bookmarkStart w:id="164" w:name="_Toc92965259"/>
      <w:bookmarkStart w:id="165" w:name="_Toc112151083"/>
      <w:bookmarkStart w:id="166" w:name="_Toc186871606"/>
      <w:r>
        <w:rPr>
          <w:rStyle w:val="CharSectno"/>
        </w:rPr>
        <w:t>23</w:t>
      </w:r>
      <w:r>
        <w:rPr>
          <w:snapToGrid w:val="0"/>
        </w:rPr>
        <w:t>.</w:t>
      </w:r>
      <w:r>
        <w:rPr>
          <w:snapToGrid w:val="0"/>
        </w:rPr>
        <w:tab/>
        <w:t>Application for licence or permit</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An application for the issue of a licence or permit or the renewal of the registration of a licence holder or permit holder, as the case may be, is made in accordance with this regulation by submitting to the executive officer, together with the appropriate fee set out in the Schedule, such form, duly completed, as the Director makes available for the purpose.</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pPr>
      <w:r>
        <w:tab/>
        <w:t xml:space="preserve">[Regulation 23 amended in Gazette 23 Dec 1994 p. 7134.] </w:t>
      </w:r>
    </w:p>
    <w:p>
      <w:pPr>
        <w:pStyle w:val="Heading5"/>
        <w:rPr>
          <w:snapToGrid w:val="0"/>
        </w:rPr>
      </w:pPr>
      <w:bookmarkStart w:id="167" w:name="_Toc31684958"/>
      <w:bookmarkStart w:id="168" w:name="_Toc92790627"/>
      <w:bookmarkStart w:id="169" w:name="_Toc92965260"/>
      <w:bookmarkStart w:id="170" w:name="_Toc112151084"/>
      <w:bookmarkStart w:id="171" w:name="_Toc186871607"/>
      <w:r>
        <w:rPr>
          <w:rStyle w:val="CharSectno"/>
        </w:rPr>
        <w:t>24</w:t>
      </w:r>
      <w:r>
        <w:rPr>
          <w:snapToGrid w:val="0"/>
        </w:rPr>
        <w:t>.</w:t>
      </w:r>
      <w:r>
        <w:rPr>
          <w:snapToGrid w:val="0"/>
        </w:rPr>
        <w:tab/>
        <w:t>Issue of licence or permit</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Where a person who fulfils the relevant requirements of regulation 22 makes application for the issue of a licence or permit in accordance with regulation 23 the Board may —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 and may endorse the permit with such conditions as it deems necessary.</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Footnotesection"/>
      </w:pPr>
      <w:r>
        <w:tab/>
        <w:t xml:space="preserve">[Regulation 24 amended in Gazette 23 Dec 1994 p. 7134.] </w:t>
      </w:r>
    </w:p>
    <w:p>
      <w:pPr>
        <w:pStyle w:val="Heading5"/>
        <w:rPr>
          <w:snapToGrid w:val="0"/>
        </w:rPr>
      </w:pPr>
      <w:bookmarkStart w:id="172" w:name="_Toc31684959"/>
      <w:bookmarkStart w:id="173" w:name="_Toc92790628"/>
      <w:bookmarkStart w:id="174" w:name="_Toc92965261"/>
      <w:bookmarkStart w:id="175" w:name="_Toc112151085"/>
      <w:bookmarkStart w:id="176" w:name="_Toc186871608"/>
      <w:r>
        <w:rPr>
          <w:rStyle w:val="CharSectno"/>
        </w:rPr>
        <w:t>25</w:t>
      </w:r>
      <w:r>
        <w:rPr>
          <w:snapToGrid w:val="0"/>
        </w:rPr>
        <w:t>.</w:t>
      </w:r>
      <w:r>
        <w:rPr>
          <w:snapToGrid w:val="0"/>
        </w:rPr>
        <w:tab/>
        <w:t>Holders of licences issued in another State or Territory or in New Zealand</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 person who is licensed to carry out electrical work, other than as an electrical contractor only, under the law of another State or Territory or of New Zealand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 of New Zealand.</w:t>
      </w:r>
    </w:p>
    <w:p>
      <w:pPr>
        <w:pStyle w:val="Subsection"/>
        <w:rPr>
          <w:snapToGrid w:val="0"/>
        </w:rPr>
      </w:pPr>
      <w:r>
        <w:rPr>
          <w:snapToGrid w:val="0"/>
        </w:rPr>
        <w:tab/>
        <w:t>(2)</w:t>
      </w:r>
      <w:r>
        <w:rPr>
          <w:snapToGrid w:val="0"/>
        </w:rPr>
        <w:tab/>
        <w:t>On receipt of an application made under subregulation (1) the Board shall if it is satisfied with the information contained in that application issue to the applicant a corresponding licence.</w:t>
      </w:r>
    </w:p>
    <w:p>
      <w:pPr>
        <w:pStyle w:val="Heading5"/>
        <w:rPr>
          <w:snapToGrid w:val="0"/>
        </w:rPr>
      </w:pPr>
      <w:bookmarkStart w:id="177" w:name="_Toc31684960"/>
      <w:bookmarkStart w:id="178" w:name="_Toc92790629"/>
      <w:bookmarkStart w:id="179" w:name="_Toc92965262"/>
      <w:bookmarkStart w:id="180" w:name="_Toc112151086"/>
      <w:bookmarkStart w:id="181" w:name="_Toc186871609"/>
      <w:r>
        <w:rPr>
          <w:rStyle w:val="CharSectno"/>
        </w:rPr>
        <w:t>26</w:t>
      </w:r>
      <w:r>
        <w:rPr>
          <w:snapToGrid w:val="0"/>
        </w:rPr>
        <w:t>.</w:t>
      </w:r>
      <w:r>
        <w:rPr>
          <w:snapToGrid w:val="0"/>
        </w:rPr>
        <w:tab/>
        <w:t>Duration of registration of licence or permit</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Subject to these regulations, the registration of every licence other than a “C” grade licence continues to have effect on and from the day on which it was issued unless suspended or cancelled under these regulations, or until the name of the holder of the licence is removed from the register under these regulations.</w:t>
      </w:r>
    </w:p>
    <w:p>
      <w:pPr>
        <w:pStyle w:val="Subsection"/>
        <w:rPr>
          <w:snapToGrid w:val="0"/>
        </w:rPr>
      </w:pPr>
      <w:r>
        <w:rPr>
          <w:snapToGrid w:val="0"/>
        </w:rPr>
        <w:tab/>
        <w:t>(2)</w:t>
      </w:r>
      <w:r>
        <w:rPr>
          <w:snapToGrid w:val="0"/>
        </w:rPr>
        <w:tab/>
        <w:t>Where the holder of a “C” grade licence has entered training as an electrical mechanic or electrical fitter, his or her licence ceases to have effect while he or she is not employed as such.</w:t>
      </w:r>
    </w:p>
    <w:p>
      <w:pPr>
        <w:pStyle w:val="Subsection"/>
        <w:rPr>
          <w:snapToGrid w:val="0"/>
        </w:rPr>
      </w:pPr>
      <w:r>
        <w:rPr>
          <w:snapToGrid w:val="0"/>
        </w:rPr>
        <w:tab/>
        <w:t>(3)</w:t>
      </w:r>
      <w:r>
        <w:rPr>
          <w:snapToGrid w:val="0"/>
        </w:rPr>
        <w:tab/>
        <w:t>The registration of a permit expires after such period as is specified by the Board in the permit, being not longer than one year,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w:t>
      </w:r>
    </w:p>
    <w:p>
      <w:pPr>
        <w:pStyle w:val="Heading5"/>
        <w:rPr>
          <w:snapToGrid w:val="0"/>
        </w:rPr>
      </w:pPr>
      <w:bookmarkStart w:id="182" w:name="_Toc31684961"/>
      <w:bookmarkStart w:id="183" w:name="_Toc92790630"/>
      <w:bookmarkStart w:id="184" w:name="_Toc92965263"/>
      <w:bookmarkStart w:id="185" w:name="_Toc112151087"/>
      <w:bookmarkStart w:id="186" w:name="_Toc186871610"/>
      <w:r>
        <w:rPr>
          <w:rStyle w:val="CharSectno"/>
        </w:rPr>
        <w:t>27</w:t>
      </w:r>
      <w:r>
        <w:rPr>
          <w:snapToGrid w:val="0"/>
        </w:rPr>
        <w:t>.</w:t>
      </w:r>
      <w:r>
        <w:rPr>
          <w:snapToGrid w:val="0"/>
        </w:rPr>
        <w:tab/>
        <w:t>Renewal of registration</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Upon the issue of a licence, other than a “C” grade licence, the executive officer shall cause the name and other relevant particulars relating to the licence holder as are directed by the Board to be entered in a register containing such particulars as are directed by the Board.</w:t>
      </w:r>
    </w:p>
    <w:p>
      <w:pPr>
        <w:pStyle w:val="Subsection"/>
        <w:rPr>
          <w:snapToGrid w:val="0"/>
        </w:rPr>
      </w:pPr>
      <w:r>
        <w:rPr>
          <w:snapToGrid w:val="0"/>
        </w:rPr>
        <w:tab/>
        <w:t>(2)</w:t>
      </w:r>
      <w:r>
        <w:rPr>
          <w:snapToGrid w:val="0"/>
        </w:rPr>
        <w:tab/>
        <w:t>The registration of a licence expires after such period not exceeding 5 years as is specified in the certificate of registration and has effect for that period unless it is suspended or cancelled under these regulations.</w:t>
      </w:r>
    </w:p>
    <w:p>
      <w:pPr>
        <w:pStyle w:val="Subsection"/>
        <w:rPr>
          <w:snapToGrid w:val="0"/>
        </w:rPr>
      </w:pPr>
      <w:r>
        <w:rPr>
          <w:snapToGrid w:val="0"/>
        </w:rPr>
        <w:tab/>
        <w:t>(3)</w:t>
      </w:r>
      <w:r>
        <w:rPr>
          <w:snapToGrid w:val="0"/>
        </w:rPr>
        <w:tab/>
        <w:t>A licence holder shall not earlier than 90 days before, and, not later than 30 days after, the date of the expiry of his or her registration as a licence holder forward to the Board the registration fee prescribed in the Schedule.</w:t>
      </w:r>
    </w:p>
    <w:p>
      <w:pPr>
        <w:pStyle w:val="Subsection"/>
        <w:rPr>
          <w:snapToGrid w:val="0"/>
        </w:rPr>
      </w:pPr>
      <w:r>
        <w:rPr>
          <w:snapToGrid w:val="0"/>
        </w:rPr>
        <w:tab/>
        <w:t>(4)</w:t>
      </w:r>
      <w:r>
        <w:rPr>
          <w:snapToGrid w:val="0"/>
        </w:rPr>
        <w:tab/>
        <w:t>Where the registration of a licence holder is renewed under subregulation (3), 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Where the registration of a licence holder is renewed under subregulation (3) 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 xml:space="preserve">[Regulation 27 amended in Gazette 6 Sep 1996 p. 4414.] </w:t>
      </w:r>
    </w:p>
    <w:p>
      <w:pPr>
        <w:pStyle w:val="Heading5"/>
        <w:rPr>
          <w:snapToGrid w:val="0"/>
        </w:rPr>
      </w:pPr>
      <w:bookmarkStart w:id="187" w:name="_Toc31684962"/>
      <w:bookmarkStart w:id="188" w:name="_Toc92790631"/>
      <w:bookmarkStart w:id="189" w:name="_Toc92965264"/>
      <w:bookmarkStart w:id="190" w:name="_Toc112151088"/>
      <w:bookmarkStart w:id="191" w:name="_Toc186871611"/>
      <w:r>
        <w:rPr>
          <w:rStyle w:val="CharSectno"/>
        </w:rPr>
        <w:t>28</w:t>
      </w:r>
      <w:r>
        <w:rPr>
          <w:snapToGrid w:val="0"/>
        </w:rPr>
        <w:t>.</w:t>
      </w:r>
      <w:r>
        <w:rPr>
          <w:snapToGrid w:val="0"/>
        </w:rPr>
        <w:tab/>
        <w:t>Address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written notice, the person shall, not later than 28 days after the change, give to the Board written notice of his or her new residential address.</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Heading5"/>
        <w:rPr>
          <w:snapToGrid w:val="0"/>
        </w:rPr>
      </w:pPr>
      <w:bookmarkStart w:id="192" w:name="_Toc31684963"/>
      <w:bookmarkStart w:id="193" w:name="_Toc92790632"/>
      <w:bookmarkStart w:id="194" w:name="_Toc92965265"/>
      <w:bookmarkStart w:id="195" w:name="_Toc112151089"/>
      <w:bookmarkStart w:id="196" w:name="_Toc186871612"/>
      <w:r>
        <w:rPr>
          <w:rStyle w:val="CharSectno"/>
        </w:rPr>
        <w:t>29</w:t>
      </w:r>
      <w:r>
        <w:rPr>
          <w:snapToGrid w:val="0"/>
        </w:rPr>
        <w:t>.</w:t>
      </w:r>
      <w:r>
        <w:rPr>
          <w:snapToGrid w:val="0"/>
        </w:rPr>
        <w:tab/>
        <w:t>Discretionary examinations and tests</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examination or trade test as the Board specifies.</w:t>
      </w:r>
    </w:p>
    <w:p>
      <w:pPr>
        <w:pStyle w:val="Subsection"/>
        <w:rPr>
          <w:snapToGrid w:val="0"/>
        </w:rPr>
      </w:pPr>
      <w:r>
        <w:rPr>
          <w:snapToGrid w:val="0"/>
        </w:rPr>
        <w:tab/>
        <w:t>(3)</w:t>
      </w:r>
      <w:r>
        <w:rPr>
          <w:snapToGrid w:val="0"/>
        </w:rPr>
        <w:tab/>
        <w:t>Where a person required under subregulation (1) or (2) to undergo an examination or test — </w:t>
      </w:r>
    </w:p>
    <w:p>
      <w:pPr>
        <w:pStyle w:val="Indenta"/>
        <w:rPr>
          <w:snapToGrid w:val="0"/>
        </w:rPr>
      </w:pPr>
      <w:r>
        <w:rPr>
          <w:snapToGrid w:val="0"/>
        </w:rPr>
        <w:tab/>
        <w:t>(a)</w:t>
      </w:r>
      <w:r>
        <w:rPr>
          <w:snapToGrid w:val="0"/>
        </w:rPr>
        <w:tab/>
        <w:t>fails to comply with the requirement within the time specified in the requirement;</w:t>
      </w:r>
    </w:p>
    <w:p>
      <w:pPr>
        <w:pStyle w:val="Indenta"/>
        <w:rPr>
          <w:snapToGrid w:val="0"/>
        </w:rPr>
      </w:pPr>
      <w:r>
        <w:rPr>
          <w:snapToGrid w:val="0"/>
        </w:rPr>
        <w:tab/>
        <w:t>(b)</w:t>
      </w:r>
      <w:r>
        <w:rPr>
          <w:snapToGrid w:val="0"/>
        </w:rPr>
        <w:tab/>
        <w:t>fails to produce to the Board evidence considered by the Board to be satisfactory concerning the results of that examination or test; or</w:t>
      </w:r>
    </w:p>
    <w:p>
      <w:pPr>
        <w:pStyle w:val="Indenta"/>
        <w:rPr>
          <w:snapToGrid w:val="0"/>
        </w:rPr>
      </w:pPr>
      <w:r>
        <w:rPr>
          <w:snapToGrid w:val="0"/>
        </w:rPr>
        <w:tab/>
        <w:t>(c)</w:t>
      </w:r>
      <w:r>
        <w:rPr>
          <w:snapToGrid w:val="0"/>
        </w:rPr>
        <w:tab/>
        <w:t>fails, upon that 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 or</w:t>
      </w:r>
    </w:p>
    <w:p>
      <w:pPr>
        <w:pStyle w:val="Indenta"/>
        <w:keepNext/>
        <w:rPr>
          <w:snapToGrid w:val="0"/>
        </w:rPr>
      </w:pPr>
      <w:r>
        <w:rPr>
          <w:snapToGrid w:val="0"/>
        </w:rPr>
        <w:tab/>
        <w:t>(e)</w:t>
      </w:r>
      <w:r>
        <w:rPr>
          <w:snapToGrid w:val="0"/>
        </w:rPr>
        <w:tab/>
        <w:t>suspend or cancel,</w:t>
      </w:r>
    </w:p>
    <w:p>
      <w:pPr>
        <w:pStyle w:val="Subsection"/>
        <w:rPr>
          <w:snapToGrid w:val="0"/>
        </w:rPr>
      </w:pPr>
      <w:r>
        <w:rPr>
          <w:snapToGrid w:val="0"/>
        </w:rPr>
        <w:tab/>
      </w:r>
      <w:r>
        <w:rPr>
          <w:snapToGrid w:val="0"/>
        </w:rPr>
        <w:tab/>
        <w:t>his or her licence or permit.</w:t>
      </w:r>
    </w:p>
    <w:p>
      <w:pPr>
        <w:pStyle w:val="Heading5"/>
      </w:pPr>
      <w:bookmarkStart w:id="197" w:name="_Toc92790635"/>
      <w:bookmarkStart w:id="198" w:name="_Toc92965266"/>
      <w:bookmarkStart w:id="199" w:name="_Toc112151090"/>
      <w:bookmarkStart w:id="200" w:name="_Toc186871613"/>
      <w:bookmarkStart w:id="201" w:name="_Toc31684966"/>
      <w:r>
        <w:rPr>
          <w:rStyle w:val="CharSectno"/>
        </w:rPr>
        <w:t>30</w:t>
      </w:r>
      <w:r>
        <w:t>.</w:t>
      </w:r>
      <w:r>
        <w:tab/>
        <w:t>Discipline</w:t>
      </w:r>
      <w:bookmarkEnd w:id="197"/>
      <w:bookmarkEnd w:id="198"/>
      <w:bookmarkEnd w:id="199"/>
      <w:bookmarkEnd w:id="200"/>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w:t>
      </w:r>
    </w:p>
    <w:p>
      <w:pPr>
        <w:pStyle w:val="Indenta"/>
      </w:pPr>
      <w:r>
        <w:tab/>
        <w:t>(b)</w:t>
      </w:r>
      <w:r>
        <w:tab/>
        <w:t>obtained the licence or permit by misrepresentation as to any material fact or by other fraudulent means;</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of regulation 49 or 50.</w:t>
      </w:r>
    </w:p>
    <w:p>
      <w:pPr>
        <w:pStyle w:val="Footnotesection"/>
      </w:pPr>
      <w:r>
        <w:tab/>
        <w:t>[Regulation 30 inserted in Gazette 30 Dec 2004 p. 6990-1.]</w:t>
      </w:r>
    </w:p>
    <w:p>
      <w:pPr>
        <w:pStyle w:val="Heading5"/>
      </w:pPr>
      <w:bookmarkStart w:id="202" w:name="_Toc92790636"/>
      <w:bookmarkStart w:id="203" w:name="_Toc92965267"/>
      <w:bookmarkStart w:id="204" w:name="_Toc112151091"/>
      <w:bookmarkStart w:id="205" w:name="_Toc186871614"/>
      <w:r>
        <w:rPr>
          <w:rStyle w:val="CharSectno"/>
        </w:rPr>
        <w:t>31</w:t>
      </w:r>
      <w:r>
        <w:t>.</w:t>
      </w:r>
      <w:r>
        <w:tab/>
        <w:t>Disciplinary powers</w:t>
      </w:r>
      <w:bookmarkEnd w:id="202"/>
      <w:bookmarkEnd w:id="203"/>
      <w:bookmarkEnd w:id="204"/>
      <w:bookmarkEnd w:id="205"/>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nominated electrical worker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6991-2.]</w:t>
      </w:r>
    </w:p>
    <w:p>
      <w:pPr>
        <w:pStyle w:val="Heading5"/>
      </w:pPr>
      <w:bookmarkStart w:id="206" w:name="_Toc92790637"/>
      <w:bookmarkStart w:id="207" w:name="_Toc92965268"/>
      <w:bookmarkStart w:id="208" w:name="_Toc112151092"/>
      <w:bookmarkStart w:id="209" w:name="_Toc186871615"/>
      <w:r>
        <w:rPr>
          <w:rStyle w:val="CharSectno"/>
        </w:rPr>
        <w:t>31A</w:t>
      </w:r>
      <w:r>
        <w:t>.</w:t>
      </w:r>
      <w:r>
        <w:tab/>
        <w:t>Alternative to bringing proceedings</w:t>
      </w:r>
      <w:bookmarkEnd w:id="206"/>
      <w:bookmarkEnd w:id="207"/>
      <w:bookmarkEnd w:id="208"/>
      <w:bookmarkEnd w:id="209"/>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nominated electrical worker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6992-3.]</w:t>
      </w:r>
    </w:p>
    <w:p>
      <w:pPr>
        <w:pStyle w:val="Heading5"/>
        <w:rPr>
          <w:snapToGrid w:val="0"/>
        </w:rPr>
      </w:pPr>
      <w:bookmarkStart w:id="210" w:name="_Toc92790638"/>
      <w:bookmarkStart w:id="211" w:name="_Toc92965269"/>
      <w:bookmarkStart w:id="212" w:name="_Toc112151093"/>
      <w:bookmarkStart w:id="213" w:name="_Toc186871616"/>
      <w:r>
        <w:rPr>
          <w:rStyle w:val="CharSectno"/>
        </w:rPr>
        <w:t>32</w:t>
      </w:r>
      <w:r>
        <w:rPr>
          <w:snapToGrid w:val="0"/>
        </w:rPr>
        <w:t>.</w:t>
      </w:r>
      <w:r>
        <w:rPr>
          <w:snapToGrid w:val="0"/>
        </w:rPr>
        <w:tab/>
        <w:t>Effect of, and revocation of, suspension</w:t>
      </w:r>
      <w:bookmarkEnd w:id="201"/>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During any period for which a licence or permit is suspended under these regulations, the holder is not authorised to carry out electrical work under the licence or permit except that where a suspension is expressed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214" w:name="_Toc54672599"/>
      <w:bookmarkStart w:id="215"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6993-4.]</w:t>
      </w:r>
    </w:p>
    <w:p>
      <w:pPr>
        <w:pStyle w:val="Heading2"/>
      </w:pPr>
      <w:bookmarkStart w:id="216" w:name="_Toc92790639"/>
      <w:bookmarkStart w:id="217" w:name="_Toc92790773"/>
      <w:bookmarkStart w:id="218" w:name="_Toc92965270"/>
      <w:bookmarkStart w:id="219" w:name="_Toc92965374"/>
      <w:bookmarkStart w:id="220" w:name="_Toc101593819"/>
      <w:bookmarkStart w:id="221" w:name="_Toc112133195"/>
      <w:bookmarkStart w:id="222" w:name="_Toc112151094"/>
      <w:bookmarkStart w:id="223" w:name="_Toc133305773"/>
      <w:bookmarkStart w:id="224" w:name="_Toc135028285"/>
      <w:bookmarkStart w:id="225" w:name="_Toc135121838"/>
      <w:bookmarkStart w:id="226" w:name="_Toc136661023"/>
      <w:bookmarkStart w:id="227" w:name="_Toc136661214"/>
      <w:bookmarkStart w:id="228" w:name="_Toc136662524"/>
      <w:bookmarkStart w:id="229" w:name="_Toc139258281"/>
      <w:bookmarkStart w:id="230" w:name="_Toc170722078"/>
      <w:bookmarkStart w:id="231" w:name="_Toc186871617"/>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PartText"/>
        </w:rPr>
        <w:t xml:space="preserve"> </w:t>
      </w:r>
    </w:p>
    <w:p>
      <w:pPr>
        <w:pStyle w:val="Heading5"/>
        <w:rPr>
          <w:snapToGrid w:val="0"/>
        </w:rPr>
      </w:pPr>
      <w:bookmarkStart w:id="232" w:name="_Toc92790640"/>
      <w:bookmarkStart w:id="233" w:name="_Toc92965271"/>
      <w:bookmarkStart w:id="234" w:name="_Toc112151095"/>
      <w:bookmarkStart w:id="235" w:name="_Toc186871618"/>
      <w:r>
        <w:rPr>
          <w:rStyle w:val="CharSectno"/>
        </w:rPr>
        <w:t>33</w:t>
      </w:r>
      <w:r>
        <w:rPr>
          <w:snapToGrid w:val="0"/>
        </w:rPr>
        <w:t>.</w:t>
      </w:r>
      <w:r>
        <w:rPr>
          <w:snapToGrid w:val="0"/>
        </w:rPr>
        <w:tab/>
        <w:t>Electrical contracting prohibited unless authorised</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Subject to this regulation, a person shall not, on or after the appointed day, carry on business as an electrical contractor, or by any means hold himself or herself out as carrying on business as an electrical contractor, unless the person is authorised by an electrical contractor’s licence to so carry on business.</w:t>
      </w:r>
    </w:p>
    <w:p>
      <w:pPr>
        <w:pStyle w:val="Subsection"/>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rPr>
          <w:snapToGrid w:val="0"/>
        </w:rPr>
      </w:pPr>
      <w:r>
        <w:rPr>
          <w:snapToGrid w:val="0"/>
        </w:rPr>
        <w:tab/>
        <w:t>(b)</w:t>
      </w:r>
      <w:r>
        <w:rPr>
          <w:snapToGrid w:val="0"/>
        </w:rPr>
        <w:tab/>
        <w:t>he or she undertakes to have work done by an electrical contractor.</w:t>
      </w:r>
    </w:p>
    <w:p>
      <w:pPr>
        <w:pStyle w:val="Subsection"/>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rPr>
          <w:snapToGrid w:val="0"/>
        </w:rPr>
      </w:pPr>
      <w:r>
        <w:rPr>
          <w:snapToGrid w:val="0"/>
        </w:rPr>
        <w:tab/>
        <w:t>(4)</w:t>
      </w:r>
      <w:r>
        <w:rPr>
          <w:snapToGrid w:val="0"/>
        </w:rPr>
        <w:tab/>
        <w:t>Subject to subregulation (2)(a),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w:t>
      </w:r>
    </w:p>
    <w:p>
      <w:pPr>
        <w:pStyle w:val="Heading5"/>
        <w:rPr>
          <w:snapToGrid w:val="0"/>
        </w:rPr>
      </w:pPr>
      <w:bookmarkStart w:id="236" w:name="_Toc31684968"/>
      <w:bookmarkStart w:id="237" w:name="_Toc92790641"/>
      <w:bookmarkStart w:id="238" w:name="_Toc92965272"/>
      <w:bookmarkStart w:id="239" w:name="_Toc112151096"/>
      <w:bookmarkStart w:id="240" w:name="_Toc186871619"/>
      <w:r>
        <w:rPr>
          <w:rStyle w:val="CharSectno"/>
        </w:rPr>
        <w:t>34</w:t>
      </w:r>
      <w:r>
        <w:rPr>
          <w:snapToGrid w:val="0"/>
        </w:rPr>
        <w:t>.</w:t>
      </w:r>
      <w:r>
        <w:rPr>
          <w:snapToGrid w:val="0"/>
        </w:rPr>
        <w:tab/>
        <w:t>Dealing with unlicensed contractor prohibited</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241" w:name="_Toc92790642"/>
      <w:bookmarkStart w:id="242" w:name="_Toc92965273"/>
      <w:bookmarkStart w:id="243" w:name="_Toc112151097"/>
      <w:bookmarkStart w:id="244" w:name="_Toc186871620"/>
      <w:r>
        <w:rPr>
          <w:rStyle w:val="CharSectno"/>
        </w:rPr>
        <w:t>35</w:t>
      </w:r>
      <w:r>
        <w:rPr>
          <w:snapToGrid w:val="0"/>
        </w:rPr>
        <w:t>.</w:t>
      </w:r>
      <w:r>
        <w:rPr>
          <w:snapToGrid w:val="0"/>
        </w:rPr>
        <w:tab/>
        <w:t>Falsely implying work is authorised</w:t>
      </w:r>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245" w:name="_Toc31684970"/>
      <w:bookmarkStart w:id="246" w:name="_Toc92790643"/>
      <w:bookmarkStart w:id="247" w:name="_Toc92965274"/>
      <w:bookmarkStart w:id="248" w:name="_Toc112151098"/>
      <w:bookmarkStart w:id="249" w:name="_Toc186871621"/>
      <w:r>
        <w:rPr>
          <w:rStyle w:val="CharSectno"/>
        </w:rPr>
        <w:t>36</w:t>
      </w:r>
      <w:r>
        <w:rPr>
          <w:snapToGrid w:val="0"/>
        </w:rPr>
        <w:t>.</w:t>
      </w:r>
      <w:r>
        <w:rPr>
          <w:snapToGrid w:val="0"/>
        </w:rPr>
        <w:tab/>
        <w:t>Eligibility for electrical contractor’s licence</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rPr>
          <w:snapToGrid w:val="0"/>
        </w:rPr>
      </w:pPr>
      <w:r>
        <w:rPr>
          <w:snapToGrid w:val="0"/>
        </w:rPr>
        <w:tab/>
        <w:t>(i)</w:t>
      </w:r>
      <w:r>
        <w:rPr>
          <w:snapToGrid w:val="0"/>
        </w:rPr>
        <w:tab/>
        <w:t>holds — </w:t>
      </w:r>
    </w:p>
    <w:p>
      <w:pPr>
        <w:pStyle w:val="IndentI0"/>
        <w:rPr>
          <w:snapToGrid w:val="0"/>
        </w:rPr>
      </w:pPr>
      <w:r>
        <w:rPr>
          <w:snapToGrid w:val="0"/>
        </w:rPr>
        <w:tab/>
        <w:t>(I)</w:t>
      </w:r>
      <w:r>
        <w:rPr>
          <w:snapToGrid w:val="0"/>
        </w:rPr>
        <w:tab/>
        <w:t>an electrical worker’s licence endorsed as “A” grade (electrical mechanic, or both electrical mechanic and electrical fitter); or</w:t>
      </w:r>
    </w:p>
    <w:p>
      <w:pPr>
        <w:pStyle w:val="IndentI0"/>
        <w:rPr>
          <w:snapToGrid w:val="0"/>
        </w:rPr>
      </w:pPr>
      <w:r>
        <w:rPr>
          <w:snapToGrid w:val="0"/>
        </w:rPr>
        <w:tab/>
        <w:t>(II)</w:t>
      </w:r>
      <w:r>
        <w:rPr>
          <w:snapToGrid w:val="0"/>
        </w:rPr>
        <w:tab/>
        <w:t>a licence issued in another State or a Territory equivalent to an electrical contractor’s licence;</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rPr>
          <w:snapToGrid w:val="0"/>
        </w:rPr>
      </w:pPr>
      <w:r>
        <w:rPr>
          <w:snapToGrid w:val="0"/>
        </w:rPr>
        <w:tab/>
        <w:t>(iv)</w:t>
      </w:r>
      <w:r>
        <w:rPr>
          <w:snapToGrid w:val="0"/>
        </w:rPr>
        <w:tab/>
        <w:t>has a current policy of insurance with a reputable insurer that provides a public liability indemnity, in respect of the work of an electrical contractor, of at least $1 000 000.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Board is satisfied, after such examination as may be required by the Board, that the individual or the person nominated by the individual for the purposes of paragraph (a) understands fully the duties and obligations imposed under these regulations, the Act and the </w:t>
      </w:r>
      <w:r>
        <w:rPr>
          <w:i/>
          <w:snapToGrid w:val="0"/>
        </w:rPr>
        <w:t>Energy Coordination Act 1994</w:t>
      </w:r>
      <w:r>
        <w:rPr>
          <w:snapToGrid w:val="0"/>
        </w:rPr>
        <w:t xml:space="preserve"> and the regulations made thereunder on electrical mechanics and electrical contractors.</w:t>
      </w:r>
    </w:p>
    <w:p>
      <w:pPr>
        <w:pStyle w:val="Subsection"/>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 xml:space="preserve">the Board is satisfied that at least one of the natural persons concerned in the management or conduct of the firm or of any body corporate by which the firm is constituted fully understands the duties and obligations imposed under these regulations, the Act and the </w:t>
      </w:r>
      <w:r>
        <w:rPr>
          <w:i/>
          <w:snapToGrid w:val="0"/>
        </w:rPr>
        <w:t>Energy Coordination Act 1994</w:t>
      </w:r>
      <w:r>
        <w:rPr>
          <w:snapToGrid w:val="0"/>
        </w:rPr>
        <w:t xml:space="preserve"> and the regulations made thereunder on electrical mechanics and electrical contractors.</w:t>
      </w:r>
    </w:p>
    <w:p>
      <w:pPr>
        <w:pStyle w:val="Subsection"/>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 xml:space="preserve">the Board is satisfied that at least one of the natural persons concerned in the management or conduct of the body corporate understands fully the duties and obligations imposed by these regulations, the Act and the </w:t>
      </w:r>
      <w:r>
        <w:rPr>
          <w:i/>
          <w:snapToGrid w:val="0"/>
        </w:rPr>
        <w:t>Energy Coordination Act 1994</w:t>
      </w:r>
      <w:r>
        <w:rPr>
          <w:snapToGrid w:val="0"/>
        </w:rPr>
        <w:t xml:space="preserve"> and the regulations made thereunder on electrical mechanics and electrical contractors.</w:t>
      </w:r>
    </w:p>
    <w:p>
      <w:pPr>
        <w:pStyle w:val="Footnotesection"/>
      </w:pPr>
      <w:r>
        <w:tab/>
        <w:t>[Regulation 36 amended in Gazette 23 Dec 1994 p. 7135; 6 Sep 1996 p. 4414</w:t>
      </w:r>
      <w:r>
        <w:noBreakHyphen/>
        <w:t xml:space="preserve">15.] </w:t>
      </w:r>
    </w:p>
    <w:p>
      <w:pPr>
        <w:pStyle w:val="Heading5"/>
        <w:rPr>
          <w:snapToGrid w:val="0"/>
        </w:rPr>
      </w:pPr>
      <w:bookmarkStart w:id="250" w:name="_Toc31684971"/>
      <w:bookmarkStart w:id="251" w:name="_Toc92790644"/>
      <w:bookmarkStart w:id="252" w:name="_Toc92965275"/>
      <w:bookmarkStart w:id="253" w:name="_Toc112151099"/>
      <w:bookmarkStart w:id="254" w:name="_Toc186871622"/>
      <w:r>
        <w:rPr>
          <w:rStyle w:val="CharSectno"/>
        </w:rPr>
        <w:t>37</w:t>
      </w:r>
      <w:r>
        <w:rPr>
          <w:snapToGrid w:val="0"/>
        </w:rPr>
        <w:t>.</w:t>
      </w:r>
      <w:r>
        <w:rPr>
          <w:snapToGrid w:val="0"/>
        </w:rPr>
        <w:tab/>
        <w:t>In</w:t>
      </w:r>
      <w:r>
        <w:rPr>
          <w:snapToGrid w:val="0"/>
        </w:rPr>
        <w:noBreakHyphen/>
        <w:t>house electrical installing work licence</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On and after the appointed day, a person other than an electrical contractor who carries out any in</w:t>
      </w:r>
      <w:r>
        <w:rPr>
          <w:snapToGrid w:val="0"/>
        </w:rPr>
        <w:noBreakHyphen/>
        <w:t>house electrical installing work commits an offence unless — </w:t>
      </w:r>
    </w:p>
    <w:p>
      <w:pPr>
        <w:pStyle w:val="Indenta"/>
        <w:rPr>
          <w:snapToGrid w:val="0"/>
        </w:rPr>
      </w:pPr>
      <w:r>
        <w:rPr>
          <w:snapToGrid w:val="0"/>
        </w:rPr>
        <w:tab/>
        <w:t>(a)</w:t>
      </w:r>
      <w:r>
        <w:rPr>
          <w:snapToGrid w:val="0"/>
        </w:rPr>
        <w:tab/>
        <w:t>the person has in his or her employ at least one person nominated by him or her — </w:t>
      </w:r>
    </w:p>
    <w:p>
      <w:pPr>
        <w:pStyle w:val="Indenti"/>
        <w:rPr>
          <w:snapToGrid w:val="0"/>
        </w:rPr>
      </w:pPr>
      <w:r>
        <w:rPr>
          <w:snapToGrid w:val="0"/>
        </w:rPr>
        <w:tab/>
        <w:t>(i)</w:t>
      </w:r>
      <w:r>
        <w:rPr>
          <w:snapToGrid w:val="0"/>
        </w:rPr>
        <w:tab/>
        <w:t>who holds — </w:t>
      </w:r>
    </w:p>
    <w:p>
      <w:pPr>
        <w:pStyle w:val="IndentI0"/>
        <w:rPr>
          <w:snapToGrid w:val="0"/>
        </w:rPr>
      </w:pPr>
      <w:r>
        <w:rPr>
          <w:snapToGrid w:val="0"/>
        </w:rPr>
        <w:tab/>
        <w:t>(I)</w:t>
      </w:r>
      <w:r>
        <w:rPr>
          <w:snapToGrid w:val="0"/>
        </w:rPr>
        <w:tab/>
        <w:t>an electrical worker’s licence endorsed as “A” grade (electrical mechanic, or both electrical mechanic and electrical fitter); or</w:t>
      </w:r>
    </w:p>
    <w:p>
      <w:pPr>
        <w:pStyle w:val="IndentI0"/>
        <w:rPr>
          <w:snapToGrid w:val="0"/>
        </w:rPr>
      </w:pPr>
      <w:r>
        <w:rPr>
          <w:snapToGrid w:val="0"/>
        </w:rPr>
        <w:tab/>
        <w:t>(II)</w:t>
      </w:r>
      <w:r>
        <w:rPr>
          <w:snapToGrid w:val="0"/>
        </w:rPr>
        <w:tab/>
        <w:t>a licence issued in another State or a Territory equivalent to an electrical contractor’s licence;</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by these regulations, the Act, the </w:t>
      </w:r>
      <w:r>
        <w:rPr>
          <w:i/>
          <w:snapToGrid w:val="0"/>
        </w:rPr>
        <w:t>Energy Operators (Powers) Act 1979</w:t>
      </w:r>
      <w:r>
        <w:rPr>
          <w:snapToGrid w:val="0"/>
        </w:rPr>
        <w:t xml:space="preserve">, the </w:t>
      </w:r>
      <w:r>
        <w:rPr>
          <w:i/>
          <w:snapToGrid w:val="0"/>
        </w:rPr>
        <w:t>Energy Coordination Act 1994</w:t>
      </w:r>
      <w:r>
        <w:rPr>
          <w:snapToGrid w:val="0"/>
        </w:rPr>
        <w:t xml:space="preserve"> and the respective regulations made thereunder on electrical installers and electrical contractors; 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w:t>
      </w:r>
    </w:p>
    <w:p>
      <w:pPr>
        <w:pStyle w:val="Heading5"/>
        <w:rPr>
          <w:snapToGrid w:val="0"/>
        </w:rPr>
      </w:pPr>
      <w:bookmarkStart w:id="255" w:name="_Toc31684972"/>
      <w:bookmarkStart w:id="256" w:name="_Toc92790645"/>
      <w:bookmarkStart w:id="257" w:name="_Toc92965276"/>
      <w:bookmarkStart w:id="258" w:name="_Toc112151100"/>
      <w:bookmarkStart w:id="259" w:name="_Toc186871623"/>
      <w:r>
        <w:rPr>
          <w:rStyle w:val="CharSectno"/>
        </w:rPr>
        <w:t>38</w:t>
      </w:r>
      <w:r>
        <w:rPr>
          <w:snapToGrid w:val="0"/>
        </w:rPr>
        <w:t>.</w:t>
      </w:r>
      <w:r>
        <w:rPr>
          <w:snapToGrid w:val="0"/>
        </w:rPr>
        <w:tab/>
        <w:t>Nominated electrical worker</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rPr>
          <w:snapToGrid w:val="0"/>
        </w:rPr>
      </w:pPr>
      <w:r>
        <w:rPr>
          <w:snapToGrid w:val="0"/>
        </w:rPr>
        <w:tab/>
        <w:t>(3)</w:t>
      </w:r>
      <w:r>
        <w:rPr>
          <w:snapToGrid w:val="0"/>
        </w:rPr>
        <w:tab/>
        <w:t>A person is ineligible to be, or continue to be, a nominated electrical worker in respect of a licence unless he or she is employed by the holder of the licence or he or she is approved by the Board for the purposes of this regulation.</w:t>
      </w:r>
    </w:p>
    <w:p>
      <w:pPr>
        <w:pStyle w:val="Subsection"/>
        <w:rPr>
          <w:snapToGrid w:val="0"/>
        </w:rPr>
      </w:pPr>
      <w:r>
        <w:rPr>
          <w:snapToGrid w:val="0"/>
        </w:rPr>
        <w:tab/>
        <w:t>(4)</w:t>
      </w:r>
      <w:r>
        <w:rPr>
          <w:snapToGrid w:val="0"/>
        </w:rPr>
        <w:tab/>
        <w:t>Where a holder of a licence nominates as his or her nominated electrical worker a person who is ineligible under subregulation (3) or permits a person who is so ineligible to continue to be his or her nominated electrical worker, the holder of the licence commits an offence.</w:t>
      </w:r>
    </w:p>
    <w:p>
      <w:pPr>
        <w:pStyle w:val="Subsection"/>
        <w:rPr>
          <w:snapToGrid w:val="0"/>
        </w:rPr>
      </w:pPr>
      <w:r>
        <w:rPr>
          <w:snapToGrid w:val="0"/>
        </w:rPr>
        <w:tab/>
        <w:t>(5)</w:t>
      </w:r>
      <w:r>
        <w:rPr>
          <w:snapToGrid w:val="0"/>
        </w:rPr>
        <w:tab/>
        <w:t>A person who is ineligible to be a nominated electrical worker who — </w:t>
      </w:r>
    </w:p>
    <w:p>
      <w:pPr>
        <w:pStyle w:val="Indenta"/>
        <w:rPr>
          <w:snapToGrid w:val="0"/>
        </w:rPr>
      </w:pPr>
      <w:r>
        <w:rPr>
          <w:snapToGrid w:val="0"/>
        </w:rPr>
        <w:tab/>
        <w:t>(a)</w:t>
      </w:r>
      <w:r>
        <w:rPr>
          <w:snapToGrid w:val="0"/>
        </w:rPr>
        <w:tab/>
        <w:t>permits himself or herself to be nominated as the nominated electrical worker in respect of a licence; or</w:t>
      </w:r>
    </w:p>
    <w:p>
      <w:pPr>
        <w:pStyle w:val="Indenta"/>
        <w:rPr>
          <w:snapToGrid w:val="0"/>
        </w:rPr>
      </w:pPr>
      <w:r>
        <w:rPr>
          <w:snapToGrid w:val="0"/>
        </w:rPr>
        <w:tab/>
        <w:t>(b)</w:t>
      </w:r>
      <w:r>
        <w:rPr>
          <w:snapToGrid w:val="0"/>
        </w:rPr>
        <w:tab/>
        <w:t>continues to be a nominated electrical worker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Where, by reason of cancellation under subregulation (1) or for any other reason, a person who was a nominated electrical worker in respect of a licence ceases to be a nominated electrical worker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 nominated electrical worker,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Heading5"/>
        <w:rPr>
          <w:snapToGrid w:val="0"/>
        </w:rPr>
      </w:pPr>
      <w:bookmarkStart w:id="260" w:name="_Toc31684973"/>
      <w:bookmarkStart w:id="261" w:name="_Toc92790646"/>
      <w:bookmarkStart w:id="262" w:name="_Toc92965277"/>
      <w:bookmarkStart w:id="263" w:name="_Toc112151101"/>
      <w:bookmarkStart w:id="264" w:name="_Toc186871624"/>
      <w:r>
        <w:rPr>
          <w:rStyle w:val="CharSectno"/>
        </w:rPr>
        <w:t>39</w:t>
      </w:r>
      <w:r>
        <w:rPr>
          <w:snapToGrid w:val="0"/>
        </w:rPr>
        <w:t>.</w:t>
      </w:r>
      <w:r>
        <w:rPr>
          <w:snapToGrid w:val="0"/>
        </w:rPr>
        <w:tab/>
        <w:t>Application for licence</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w:t>
      </w:r>
    </w:p>
    <w:p>
      <w:pPr>
        <w:pStyle w:val="Heading5"/>
        <w:rPr>
          <w:snapToGrid w:val="0"/>
        </w:rPr>
      </w:pPr>
      <w:bookmarkStart w:id="265" w:name="_Toc31684974"/>
      <w:bookmarkStart w:id="266" w:name="_Toc92790647"/>
      <w:bookmarkStart w:id="267" w:name="_Toc92965278"/>
      <w:bookmarkStart w:id="268" w:name="_Toc112151102"/>
      <w:bookmarkStart w:id="269" w:name="_Toc186871625"/>
      <w:r>
        <w:rPr>
          <w:rStyle w:val="CharSectno"/>
        </w:rPr>
        <w:t>40</w:t>
      </w:r>
      <w:r>
        <w:rPr>
          <w:snapToGrid w:val="0"/>
        </w:rPr>
        <w:t>.</w:t>
      </w:r>
      <w:r>
        <w:rPr>
          <w:snapToGrid w:val="0"/>
        </w:rPr>
        <w:tab/>
        <w:t>Issue of licence</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Heading5"/>
        <w:rPr>
          <w:snapToGrid w:val="0"/>
        </w:rPr>
      </w:pPr>
      <w:bookmarkStart w:id="270" w:name="_Toc31684975"/>
      <w:bookmarkStart w:id="271" w:name="_Toc92790648"/>
      <w:bookmarkStart w:id="272" w:name="_Toc92965279"/>
      <w:bookmarkStart w:id="273" w:name="_Toc112151103"/>
      <w:bookmarkStart w:id="274" w:name="_Toc186871626"/>
      <w:r>
        <w:rPr>
          <w:rStyle w:val="CharSectno"/>
        </w:rPr>
        <w:t>41</w:t>
      </w:r>
      <w:r>
        <w:rPr>
          <w:snapToGrid w:val="0"/>
        </w:rPr>
        <w:t>.</w:t>
      </w:r>
      <w:r>
        <w:rPr>
          <w:snapToGrid w:val="0"/>
        </w:rPr>
        <w:tab/>
        <w:t>Licence held by a firm</w:t>
      </w:r>
      <w:bookmarkEnd w:id="270"/>
      <w:bookmarkEnd w:id="271"/>
      <w:bookmarkEnd w:id="272"/>
      <w:bookmarkEnd w:id="273"/>
      <w:bookmarkEnd w:id="274"/>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275" w:name="_Toc31684976"/>
      <w:bookmarkStart w:id="276" w:name="_Toc92790649"/>
      <w:bookmarkStart w:id="277" w:name="_Toc92965280"/>
      <w:bookmarkStart w:id="278" w:name="_Toc112151104"/>
      <w:bookmarkStart w:id="279" w:name="_Toc186871627"/>
      <w:r>
        <w:rPr>
          <w:rStyle w:val="CharSectno"/>
        </w:rPr>
        <w:t>42</w:t>
      </w:r>
      <w:r>
        <w:rPr>
          <w:snapToGrid w:val="0"/>
        </w:rPr>
        <w:t>.</w:t>
      </w:r>
      <w:r>
        <w:rPr>
          <w:snapToGrid w:val="0"/>
        </w:rPr>
        <w:tab/>
        <w:t>Board to be notified</w:t>
      </w:r>
      <w:bookmarkEnd w:id="275"/>
      <w:bookmarkEnd w:id="276"/>
      <w:bookmarkEnd w:id="277"/>
      <w:bookmarkEnd w:id="278"/>
      <w:bookmarkEnd w:id="279"/>
      <w:r>
        <w:rPr>
          <w:snapToGrid w:val="0"/>
        </w:rPr>
        <w:t xml:space="preserve"> </w:t>
      </w:r>
    </w:p>
    <w:p>
      <w:pPr>
        <w:pStyle w:val="Subsection"/>
        <w:spacing w:before="120"/>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280" w:name="_Toc31684977"/>
      <w:bookmarkStart w:id="281" w:name="_Toc92790650"/>
      <w:bookmarkStart w:id="282" w:name="_Toc92965281"/>
      <w:bookmarkStart w:id="283" w:name="_Toc112151105"/>
      <w:bookmarkStart w:id="284" w:name="_Toc186871628"/>
      <w:r>
        <w:rPr>
          <w:rStyle w:val="CharSectno"/>
        </w:rPr>
        <w:t>43</w:t>
      </w:r>
      <w:r>
        <w:rPr>
          <w:snapToGrid w:val="0"/>
        </w:rPr>
        <w:t>.</w:t>
      </w:r>
      <w:r>
        <w:rPr>
          <w:snapToGrid w:val="0"/>
        </w:rPr>
        <w:tab/>
        <w:t>Duration of registration</w:t>
      </w:r>
      <w:bookmarkEnd w:id="280"/>
      <w:bookmarkEnd w:id="281"/>
      <w:bookmarkEnd w:id="282"/>
      <w:bookmarkEnd w:id="283"/>
      <w:bookmarkEnd w:id="284"/>
      <w:r>
        <w:rPr>
          <w:snapToGrid w:val="0"/>
        </w:rPr>
        <w:t xml:space="preserve"> </w:t>
      </w:r>
    </w:p>
    <w:p>
      <w:pPr>
        <w:pStyle w:val="Subsection"/>
        <w:spacing w:before="120"/>
      </w:pPr>
      <w:r>
        <w:tab/>
        <w:t>(1)</w:t>
      </w:r>
      <w:r>
        <w:tab/>
        <w:t>The registration of a licence expires after such period as is specified by the Board in the certificate of registration, being a period ending not more than one year after the day on which it was issued.</w:t>
      </w:r>
    </w:p>
    <w:p>
      <w:pPr>
        <w:pStyle w:val="Subsection"/>
        <w:spacing w:before="120"/>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Footnotesection"/>
      </w:pPr>
      <w:r>
        <w:tab/>
        <w:t>[Regulation 43 amended in Gazette 2 May 2000 p. 2115.]</w:t>
      </w:r>
    </w:p>
    <w:p>
      <w:pPr>
        <w:pStyle w:val="Heading5"/>
        <w:rPr>
          <w:snapToGrid w:val="0"/>
        </w:rPr>
      </w:pPr>
      <w:bookmarkStart w:id="285" w:name="_Toc31684978"/>
      <w:bookmarkStart w:id="286" w:name="_Toc92790651"/>
      <w:bookmarkStart w:id="287" w:name="_Toc92965282"/>
      <w:bookmarkStart w:id="288" w:name="_Toc112151106"/>
      <w:bookmarkStart w:id="289" w:name="_Toc186871629"/>
      <w:r>
        <w:rPr>
          <w:rStyle w:val="CharSectno"/>
        </w:rPr>
        <w:t>44</w:t>
      </w:r>
      <w:r>
        <w:rPr>
          <w:snapToGrid w:val="0"/>
        </w:rPr>
        <w:t>.</w:t>
      </w:r>
      <w:r>
        <w:rPr>
          <w:snapToGrid w:val="0"/>
        </w:rPr>
        <w:tab/>
        <w:t>Renewal of registration</w:t>
      </w:r>
      <w:bookmarkEnd w:id="285"/>
      <w:bookmarkEnd w:id="286"/>
      <w:bookmarkEnd w:id="287"/>
      <w:bookmarkEnd w:id="288"/>
      <w:bookmarkEnd w:id="289"/>
      <w:r>
        <w:rPr>
          <w:snapToGrid w:val="0"/>
        </w:rPr>
        <w:t xml:space="preserve"> </w:t>
      </w:r>
    </w:p>
    <w:p>
      <w:pPr>
        <w:pStyle w:val="Subsection"/>
        <w:spacing w:before="120"/>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spacing w:before="120"/>
        <w:rPr>
          <w:snapToGrid w:val="0"/>
        </w:rPr>
      </w:pPr>
      <w:r>
        <w:rPr>
          <w:snapToGrid w:val="0"/>
        </w:rPr>
        <w:tab/>
        <w:t>(2)</w:t>
      </w:r>
      <w:r>
        <w:rPr>
          <w:snapToGrid w:val="0"/>
        </w:rPr>
        <w:tab/>
        <w:t>Where the registration of a licence holder is renewed under subregulation (1), the renewal has effect, unless the licence is cancelled under these regulations, from the time when, but for the renewal, the registration would have expired.</w:t>
      </w:r>
    </w:p>
    <w:p>
      <w:pPr>
        <w:pStyle w:val="Footnotesection"/>
      </w:pPr>
      <w:r>
        <w:tab/>
        <w:t>[Regulation 44 amended in Gazette 2 May 2000 p. 2115.]</w:t>
      </w:r>
    </w:p>
    <w:p>
      <w:pPr>
        <w:pStyle w:val="Heading5"/>
        <w:rPr>
          <w:snapToGrid w:val="0"/>
        </w:rPr>
      </w:pPr>
      <w:bookmarkStart w:id="290" w:name="_Toc31684979"/>
      <w:bookmarkStart w:id="291" w:name="_Toc92790652"/>
      <w:bookmarkStart w:id="292" w:name="_Toc92965283"/>
      <w:bookmarkStart w:id="293" w:name="_Toc112151107"/>
      <w:bookmarkStart w:id="294" w:name="_Toc186871630"/>
      <w:r>
        <w:rPr>
          <w:rStyle w:val="CharSectno"/>
        </w:rPr>
        <w:t>45</w:t>
      </w:r>
      <w:r>
        <w:rPr>
          <w:snapToGrid w:val="0"/>
        </w:rPr>
        <w:t>.</w:t>
      </w:r>
      <w:r>
        <w:rPr>
          <w:snapToGrid w:val="0"/>
        </w:rPr>
        <w:tab/>
        <w:t>Place of business</w:t>
      </w:r>
      <w:bookmarkEnd w:id="290"/>
      <w:bookmarkEnd w:id="291"/>
      <w:bookmarkEnd w:id="292"/>
      <w:bookmarkEnd w:id="293"/>
      <w:bookmarkEnd w:id="294"/>
      <w:r>
        <w:rPr>
          <w:snapToGrid w:val="0"/>
        </w:rPr>
        <w:t xml:space="preserve"> </w:t>
      </w:r>
    </w:p>
    <w:p>
      <w:pPr>
        <w:pStyle w:val="Subsection"/>
        <w:spacing w:before="120"/>
        <w:rPr>
          <w:snapToGrid w:val="0"/>
        </w:rPr>
      </w:pPr>
      <w:r>
        <w:rPr>
          <w:snapToGrid w:val="0"/>
        </w:rPr>
        <w:tab/>
        <w:t>(1)</w:t>
      </w:r>
      <w:r>
        <w:rPr>
          <w:snapToGrid w:val="0"/>
        </w:rPr>
        <w:tab/>
        <w:t>The holder of a licence shall ensure that his or her licence document and certificate of registration is conspicuously displayed at his or her principal place of business and that the number of his or her licence appears in any advertisement advertising his or her electrical contracting business.</w:t>
      </w:r>
    </w:p>
    <w:p>
      <w:pPr>
        <w:pStyle w:val="Subsection"/>
        <w:spacing w:before="120"/>
        <w:rPr>
          <w:snapToGrid w:val="0"/>
        </w:rPr>
      </w:pPr>
      <w:r>
        <w:rPr>
          <w:snapToGrid w:val="0"/>
        </w:rPr>
        <w:tab/>
        <w:t>(2)</w:t>
      </w:r>
      <w:r>
        <w:rPr>
          <w:snapToGrid w:val="0"/>
        </w:rPr>
        <w:tab/>
        <w:t>The holder of a licence shall, not later than 28 days after changing his or her business name or trading name or principal place of business, notify the Board in writing of the change.</w:t>
      </w:r>
    </w:p>
    <w:p>
      <w:pPr>
        <w:pStyle w:val="Subsection"/>
        <w:spacing w:before="120"/>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spacing w:before="120"/>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Heading5"/>
        <w:rPr>
          <w:snapToGrid w:val="0"/>
        </w:rPr>
      </w:pPr>
      <w:bookmarkStart w:id="295" w:name="_Toc92790655"/>
      <w:bookmarkStart w:id="296" w:name="_Toc92965284"/>
      <w:bookmarkStart w:id="297" w:name="_Toc112151108"/>
      <w:bookmarkStart w:id="298" w:name="_Toc186871631"/>
      <w:bookmarkStart w:id="299" w:name="_Toc54672615"/>
      <w:bookmarkStart w:id="300" w:name="_Toc77479469"/>
      <w:r>
        <w:rPr>
          <w:rStyle w:val="CharSectno"/>
        </w:rPr>
        <w:t>46</w:t>
      </w:r>
      <w:r>
        <w:rPr>
          <w:snapToGrid w:val="0"/>
        </w:rPr>
        <w:t>.</w:t>
      </w:r>
      <w:r>
        <w:rPr>
          <w:snapToGrid w:val="0"/>
        </w:rPr>
        <w:tab/>
        <w:t>Discipline</w:t>
      </w:r>
      <w:bookmarkEnd w:id="295"/>
      <w:bookmarkEnd w:id="296"/>
      <w:bookmarkEnd w:id="297"/>
      <w:bookmarkEnd w:id="298"/>
    </w:p>
    <w:p>
      <w:pPr>
        <w:pStyle w:val="Subsection"/>
        <w:spacing w:before="120"/>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 of regulation 49 or 50.</w:t>
      </w:r>
    </w:p>
    <w:p>
      <w:pPr>
        <w:pStyle w:val="Footnotesection"/>
      </w:pPr>
      <w:r>
        <w:tab/>
        <w:t>[Regulation 46 inserted in Gazette 30 Dec 2004 p. 6994.]</w:t>
      </w:r>
    </w:p>
    <w:p>
      <w:pPr>
        <w:pStyle w:val="Heading5"/>
        <w:rPr>
          <w:snapToGrid w:val="0"/>
        </w:rPr>
      </w:pPr>
      <w:bookmarkStart w:id="301" w:name="_Toc92790656"/>
      <w:bookmarkStart w:id="302" w:name="_Toc92965285"/>
      <w:bookmarkStart w:id="303" w:name="_Toc112151109"/>
      <w:bookmarkStart w:id="304" w:name="_Toc186871632"/>
      <w:r>
        <w:rPr>
          <w:rStyle w:val="CharSectno"/>
        </w:rPr>
        <w:t>47</w:t>
      </w:r>
      <w:r>
        <w:rPr>
          <w:snapToGrid w:val="0"/>
        </w:rPr>
        <w:t>.</w:t>
      </w:r>
      <w:r>
        <w:rPr>
          <w:snapToGrid w:val="0"/>
        </w:rPr>
        <w:tab/>
        <w:t>Disciplinary powers</w:t>
      </w:r>
      <w:bookmarkEnd w:id="301"/>
      <w:bookmarkEnd w:id="302"/>
      <w:bookmarkEnd w:id="303"/>
      <w:bookmarkEnd w:id="304"/>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w:t>
      </w:r>
    </w:p>
    <w:p>
      <w:pPr>
        <w:pStyle w:val="Heading5"/>
        <w:rPr>
          <w:snapToGrid w:val="0"/>
        </w:rPr>
      </w:pPr>
      <w:bookmarkStart w:id="305" w:name="_Toc92790657"/>
      <w:bookmarkStart w:id="306" w:name="_Toc92965286"/>
      <w:bookmarkStart w:id="307" w:name="_Toc112151110"/>
      <w:bookmarkStart w:id="308" w:name="_Toc186871633"/>
      <w:r>
        <w:rPr>
          <w:rStyle w:val="CharSectno"/>
        </w:rPr>
        <w:t>47A</w:t>
      </w:r>
      <w:r>
        <w:rPr>
          <w:snapToGrid w:val="0"/>
        </w:rPr>
        <w:t>.</w:t>
      </w:r>
      <w:r>
        <w:rPr>
          <w:snapToGrid w:val="0"/>
        </w:rPr>
        <w:tab/>
        <w:t>Alternative to bringing proceedings</w:t>
      </w:r>
      <w:bookmarkEnd w:id="305"/>
      <w:bookmarkEnd w:id="306"/>
      <w:bookmarkEnd w:id="307"/>
      <w:bookmarkEnd w:id="308"/>
    </w:p>
    <w:p>
      <w:pPr>
        <w:pStyle w:val="Subsection"/>
        <w:rPr>
          <w:snapToGrid w:val="0"/>
        </w:rPr>
      </w:pPr>
      <w:r>
        <w:rPr>
          <w:snapToGrid w:val="0"/>
        </w:rPr>
        <w:tab/>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6995-6.]</w:t>
      </w:r>
    </w:p>
    <w:p>
      <w:pPr>
        <w:pStyle w:val="Heading2"/>
      </w:pPr>
      <w:bookmarkStart w:id="309" w:name="_Toc92790658"/>
      <w:bookmarkStart w:id="310" w:name="_Toc92790792"/>
      <w:bookmarkStart w:id="311" w:name="_Toc92965287"/>
      <w:bookmarkStart w:id="312" w:name="_Toc92965391"/>
      <w:bookmarkStart w:id="313" w:name="_Toc101593836"/>
      <w:bookmarkStart w:id="314" w:name="_Toc112133212"/>
      <w:bookmarkStart w:id="315" w:name="_Toc112151111"/>
      <w:bookmarkStart w:id="316" w:name="_Toc133305790"/>
      <w:bookmarkStart w:id="317" w:name="_Toc135028302"/>
      <w:bookmarkStart w:id="318" w:name="_Toc135121855"/>
      <w:bookmarkStart w:id="319" w:name="_Toc136661040"/>
      <w:bookmarkStart w:id="320" w:name="_Toc136661231"/>
      <w:bookmarkStart w:id="321" w:name="_Toc136662541"/>
      <w:bookmarkStart w:id="322" w:name="_Toc139258298"/>
      <w:bookmarkStart w:id="323" w:name="_Toc170722095"/>
      <w:bookmarkStart w:id="324" w:name="_Toc186871634"/>
      <w:r>
        <w:rPr>
          <w:rStyle w:val="CharPartNo"/>
        </w:rPr>
        <w:t>Part 5</w:t>
      </w:r>
      <w:r>
        <w:rPr>
          <w:rStyle w:val="CharDivNo"/>
        </w:rPr>
        <w:t> </w:t>
      </w:r>
      <w:r>
        <w:t>—</w:t>
      </w:r>
      <w:r>
        <w:rPr>
          <w:rStyle w:val="CharDivText"/>
        </w:rPr>
        <w:t> </w:t>
      </w:r>
      <w:r>
        <w:rPr>
          <w:rStyle w:val="CharPartText"/>
        </w:rPr>
        <w:t>Regulation of electrical work</w:t>
      </w:r>
      <w:bookmarkEnd w:id="299"/>
      <w:bookmarkEnd w:id="300"/>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PartText"/>
        </w:rPr>
        <w:t xml:space="preserve"> </w:t>
      </w:r>
    </w:p>
    <w:p>
      <w:pPr>
        <w:pStyle w:val="Ednotesection"/>
      </w:pPr>
      <w:r>
        <w:t>[</w:t>
      </w:r>
      <w:r>
        <w:rPr>
          <w:b/>
        </w:rPr>
        <w:t>48.</w:t>
      </w:r>
      <w:r>
        <w:tab/>
        <w:t xml:space="preserve">Repealed in Gazette 6 Sep 1996 p. 4415.] </w:t>
      </w:r>
    </w:p>
    <w:p>
      <w:pPr>
        <w:pStyle w:val="Heading5"/>
        <w:rPr>
          <w:snapToGrid w:val="0"/>
        </w:rPr>
      </w:pPr>
      <w:bookmarkStart w:id="325" w:name="_Toc31684982"/>
      <w:bookmarkStart w:id="326" w:name="_Toc92790659"/>
      <w:bookmarkStart w:id="327" w:name="_Toc92965288"/>
      <w:bookmarkStart w:id="328" w:name="_Toc112151112"/>
      <w:bookmarkStart w:id="329" w:name="_Toc186871635"/>
      <w:r>
        <w:rPr>
          <w:rStyle w:val="CharSectno"/>
        </w:rPr>
        <w:t>49</w:t>
      </w:r>
      <w:r>
        <w:rPr>
          <w:snapToGrid w:val="0"/>
        </w:rPr>
        <w:t>.</w:t>
      </w:r>
      <w:r>
        <w:rPr>
          <w:snapToGrid w:val="0"/>
        </w:rPr>
        <w:tab/>
        <w:t>Electrical work to be carried out in accordance with certain requirements</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An electrical worker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 time,</w:t>
      </w:r>
    </w:p>
    <w:p>
      <w:pPr>
        <w:pStyle w:val="Subsection"/>
        <w:rPr>
          <w:snapToGrid w:val="0"/>
        </w:rPr>
      </w:pPr>
      <w:r>
        <w:rPr>
          <w:snapToGrid w:val="0"/>
        </w:rPr>
        <w:tab/>
      </w:r>
      <w:r>
        <w:rPr>
          <w:snapToGrid w:val="0"/>
        </w:rPr>
        <w:tab/>
        <w:t>and the following standards, as published by the Standards Association of Australia </w:t>
      </w:r>
      <w:r>
        <w:rPr>
          <w:snapToGrid w:val="0"/>
          <w:vertAlign w:val="superscript"/>
        </w:rPr>
        <w:t>3</w:t>
      </w:r>
      <w:r>
        <w:rPr>
          <w:snapToGrid w:val="0"/>
        </w:rPr>
        <w:t xml:space="preserve"> and amended from time to time, where those standards are relevant to the electrical work being carried out, namely — </w:t>
      </w:r>
    </w:p>
    <w:p>
      <w:pPr>
        <w:pStyle w:val="Indenta"/>
        <w:rPr>
          <w:snapToGrid w:val="0"/>
        </w:rPr>
      </w:pPr>
      <w:r>
        <w:rPr>
          <w:snapToGrid w:val="0"/>
        </w:rPr>
        <w:tab/>
      </w:r>
      <w:r>
        <w:rPr>
          <w:snapToGrid w:val="0"/>
        </w:rPr>
        <w:tab/>
        <w:t>AS 2067: “Switchgear Assemblies and Ancillary Equipment for A/C Voltages above 1Kv”;</w:t>
      </w:r>
    </w:p>
    <w:p>
      <w:pPr>
        <w:pStyle w:val="Indenta"/>
        <w:rPr>
          <w:snapToGrid w:val="0"/>
        </w:rPr>
      </w:pPr>
      <w:r>
        <w:rPr>
          <w:snapToGrid w:val="0"/>
        </w:rPr>
        <w:tab/>
      </w:r>
      <w:r>
        <w:rPr>
          <w:snapToGrid w:val="0"/>
        </w:rPr>
        <w:tab/>
        <w:t>AS 2381: “Electrical equipment for explosive atmospheres — Selection, installation and maintenance”;</w:t>
      </w:r>
    </w:p>
    <w:p>
      <w:pPr>
        <w:pStyle w:val="Indenta"/>
        <w:rPr>
          <w:snapToGrid w:val="0"/>
        </w:rPr>
      </w:pPr>
      <w:r>
        <w:rPr>
          <w:snapToGrid w:val="0"/>
        </w:rPr>
        <w:tab/>
      </w:r>
      <w:r>
        <w:rPr>
          <w:snapToGrid w:val="0"/>
        </w:rPr>
        <w:tab/>
        <w:t>AS 2430: “Classification of hazardous areas”;</w:t>
      </w:r>
    </w:p>
    <w:p>
      <w:pPr>
        <w:pStyle w:val="Indenta"/>
        <w:rPr>
          <w:snapToGrid w:val="0"/>
        </w:rPr>
      </w:pPr>
      <w:r>
        <w:rPr>
          <w:snapToGrid w:val="0"/>
        </w:rPr>
        <w:tab/>
      </w:r>
      <w:r>
        <w:rPr>
          <w:snapToGrid w:val="0"/>
        </w:rPr>
        <w:tab/>
        <w:t>AS 3001 (sections 1 and 2 only): “Electrical installations — Movable premises (including caravans) and their site installations”;</w:t>
      </w:r>
    </w:p>
    <w:p>
      <w:pPr>
        <w:pStyle w:val="Indenta"/>
        <w:rPr>
          <w:snapToGrid w:val="0"/>
        </w:rPr>
      </w:pPr>
      <w:r>
        <w:rPr>
          <w:snapToGrid w:val="0"/>
        </w:rPr>
        <w:tab/>
      </w:r>
      <w:r>
        <w:rPr>
          <w:snapToGrid w:val="0"/>
        </w:rPr>
        <w:tab/>
        <w:t>AS 3002: “Electrical installations — Shows and carnivals”;</w:t>
      </w:r>
    </w:p>
    <w:p>
      <w:pPr>
        <w:pStyle w:val="Indenta"/>
        <w:rPr>
          <w:snapToGrid w:val="0"/>
        </w:rPr>
      </w:pPr>
      <w:r>
        <w:rPr>
          <w:snapToGrid w:val="0"/>
        </w:rPr>
        <w:tab/>
      </w:r>
      <w:r>
        <w:rPr>
          <w:snapToGrid w:val="0"/>
        </w:rPr>
        <w:tab/>
        <w:t>AS 3004 (sections 1 and 2 only): “Electrical installations — Marinas and pleasure craft at low voltage”;</w:t>
      </w:r>
    </w:p>
    <w:p>
      <w:pPr>
        <w:pStyle w:val="Indenta"/>
        <w:rPr>
          <w:snapToGrid w:val="0"/>
        </w:rPr>
      </w:pPr>
      <w:r>
        <w:rPr>
          <w:snapToGrid w:val="0"/>
        </w:rPr>
        <w:tab/>
      </w:r>
      <w:r>
        <w:rPr>
          <w:snapToGrid w:val="0"/>
        </w:rPr>
        <w:tab/>
        <w:t>AS 3005 (sections 1 and 2 only): “Electrical installations of tents and similar temporary structures for domestic purposes”;</w:t>
      </w:r>
    </w:p>
    <w:p>
      <w:pPr>
        <w:pStyle w:val="Indenta"/>
        <w:rPr>
          <w:snapToGrid w:val="0"/>
        </w:rPr>
      </w:pPr>
      <w:r>
        <w:rPr>
          <w:snapToGrid w:val="0"/>
        </w:rPr>
        <w:tab/>
      </w:r>
      <w:r>
        <w:rPr>
          <w:snapToGrid w:val="0"/>
        </w:rPr>
        <w:tab/>
        <w:t>AS 3008: “Electrical installations — Selection of cables”;</w:t>
      </w:r>
    </w:p>
    <w:p>
      <w:pPr>
        <w:pStyle w:val="Indenta"/>
        <w:rPr>
          <w:snapToGrid w:val="0"/>
        </w:rPr>
      </w:pPr>
      <w:r>
        <w:rPr>
          <w:snapToGrid w:val="0"/>
        </w:rPr>
        <w:tab/>
      </w:r>
      <w:r>
        <w:rPr>
          <w:snapToGrid w:val="0"/>
        </w:rPr>
        <w:tab/>
        <w:t>AS 3010 (Part 1): “Electrical Installations — Supply by Generating Set”.</w:t>
      </w:r>
    </w:p>
    <w:p>
      <w:pPr>
        <w:pStyle w:val="Subsection"/>
        <w:rPr>
          <w:snapToGrid w:val="0"/>
        </w:rPr>
      </w:pPr>
      <w:r>
        <w:rPr>
          <w:snapToGrid w:val="0"/>
        </w:rPr>
        <w:tab/>
        <w:t>(2)</w:t>
      </w:r>
      <w:r>
        <w:rPr>
          <w:snapToGrid w:val="0"/>
        </w:rPr>
        <w:tab/>
        <w:t>Where any code or standard is inconsistent with the W A Electrical Requirements referred to in subregulation (1) the latter prevails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 xml:space="preserve">16; 24 Mar 2000 p. 1640.] </w:t>
      </w:r>
    </w:p>
    <w:p>
      <w:pPr>
        <w:pStyle w:val="Heading5"/>
        <w:rPr>
          <w:snapToGrid w:val="0"/>
        </w:rPr>
      </w:pPr>
      <w:bookmarkStart w:id="330" w:name="_Toc31684983"/>
      <w:bookmarkStart w:id="331" w:name="_Toc92790660"/>
      <w:bookmarkStart w:id="332" w:name="_Toc92965289"/>
      <w:bookmarkStart w:id="333" w:name="_Toc112151113"/>
      <w:bookmarkStart w:id="334" w:name="_Toc186871636"/>
      <w:r>
        <w:rPr>
          <w:rStyle w:val="CharSectno"/>
        </w:rPr>
        <w:t>50</w:t>
      </w:r>
      <w:r>
        <w:rPr>
          <w:snapToGrid w:val="0"/>
        </w:rPr>
        <w:t>.</w:t>
      </w:r>
      <w:r>
        <w:rPr>
          <w:snapToGrid w:val="0"/>
        </w:rPr>
        <w:tab/>
        <w:t>Duty to effectively supervise electrical work</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Electrical work is not required to be supervised if the person carrying out the electrical work is licensed to carry out the electrical work in question without supervision.</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licensed to carry out the electrical work in question without supervision (the </w:t>
      </w:r>
      <w:r>
        <w:rPr>
          <w:b/>
          <w:snapToGrid w:val="0"/>
        </w:rPr>
        <w:t>“</w:t>
      </w:r>
      <w:r>
        <w:rPr>
          <w:rStyle w:val="CharDefText"/>
          <w:bCs/>
        </w:rPr>
        <w:t>supervising electrical worker</w:t>
      </w:r>
      <w:r>
        <w:rPr>
          <w:b/>
          <w:snapToGrid w:val="0"/>
        </w:rPr>
        <w:t>”</w:t>
      </w:r>
      <w:r>
        <w:rPr>
          <w:snapToGrid w:val="0"/>
        </w:rPr>
        <w:t>);</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w:t>
      </w:r>
    </w:p>
    <w:p>
      <w:pPr>
        <w:pStyle w:val="Indenta"/>
        <w:rPr>
          <w:snapToGrid w:val="0"/>
        </w:rPr>
      </w:pPr>
      <w:r>
        <w:rPr>
          <w:snapToGrid w:val="0"/>
        </w:rPr>
        <w:tab/>
        <w:t>(c)</w:t>
      </w:r>
      <w:r>
        <w:rPr>
          <w:snapToGrid w:val="0"/>
        </w:rPr>
        <w:tab/>
        <w:t>shall have regard to the level of competence of the persons being supervised or to be supervised;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Footnotesection"/>
      </w:pPr>
      <w:r>
        <w:tab/>
        <w:t xml:space="preserve">[Regulation 50 amended in Gazette 6 Sep 1996 p. 4416.] </w:t>
      </w:r>
    </w:p>
    <w:p>
      <w:pPr>
        <w:pStyle w:val="Heading5"/>
        <w:rPr>
          <w:snapToGrid w:val="0"/>
        </w:rPr>
      </w:pPr>
      <w:bookmarkStart w:id="335" w:name="_Toc31684984"/>
      <w:bookmarkStart w:id="336" w:name="_Toc92790661"/>
      <w:bookmarkStart w:id="337" w:name="_Toc92965290"/>
      <w:bookmarkStart w:id="338" w:name="_Toc112151114"/>
      <w:bookmarkStart w:id="339" w:name="_Toc186871637"/>
      <w:r>
        <w:rPr>
          <w:rStyle w:val="CharSectno"/>
        </w:rPr>
        <w:t>50A</w:t>
      </w:r>
      <w:r>
        <w:rPr>
          <w:snapToGrid w:val="0"/>
        </w:rPr>
        <w:t xml:space="preserve">. </w:t>
      </w:r>
      <w:r>
        <w:rPr>
          <w:snapToGrid w:val="0"/>
        </w:rPr>
        <w:tab/>
        <w:t>Licence holder not to cause or permit unsafe wiring or equipment to be connected to electrical installation</w:t>
      </w:r>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Footnotesection"/>
      </w:pPr>
      <w:r>
        <w:tab/>
        <w:t xml:space="preserve">[Regulation 50A inserted in Gazette 6 Sep 1996 p. 4416.] </w:t>
      </w:r>
    </w:p>
    <w:p>
      <w:pPr>
        <w:pStyle w:val="Heading5"/>
        <w:rPr>
          <w:snapToGrid w:val="0"/>
        </w:rPr>
      </w:pPr>
      <w:bookmarkStart w:id="340" w:name="_Toc31684985"/>
      <w:bookmarkStart w:id="341" w:name="_Toc92790662"/>
      <w:bookmarkStart w:id="342" w:name="_Toc92965291"/>
      <w:bookmarkStart w:id="343" w:name="_Toc112151115"/>
      <w:bookmarkStart w:id="344" w:name="_Toc186871638"/>
      <w:r>
        <w:rPr>
          <w:rStyle w:val="CharSectno"/>
        </w:rPr>
        <w:t>51</w:t>
      </w:r>
      <w:r>
        <w:rPr>
          <w:snapToGrid w:val="0"/>
        </w:rPr>
        <w:t>.</w:t>
      </w:r>
      <w:r>
        <w:rPr>
          <w:snapToGrid w:val="0"/>
        </w:rPr>
        <w:tab/>
        <w:t>Preliminary notice</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Subject to subregulation (2), an electrical contractor who carries out any electrical installing work or causes any electrical installing work to be carried out commits an offence if preliminary notice of the proposed electrical installing work has not been delivered to the relevant supply authority at the required time.</w:t>
      </w:r>
    </w:p>
    <w:p>
      <w:pPr>
        <w:pStyle w:val="Subsection"/>
        <w:keepNext/>
        <w:rPr>
          <w:snapToGrid w:val="0"/>
        </w:rPr>
      </w:pPr>
      <w:r>
        <w:rPr>
          <w:snapToGrid w:val="0"/>
        </w:rPr>
        <w:tab/>
        <w:t>(2)</w:t>
      </w:r>
      <w:r>
        <w:rPr>
          <w:snapToGrid w:val="0"/>
        </w:rPr>
        <w:tab/>
        <w:t>Subregulation (1) does not apply to electrical installing work — </w:t>
      </w:r>
    </w:p>
    <w:p>
      <w:pPr>
        <w:pStyle w:val="Indenta"/>
        <w:rPr>
          <w:snapToGrid w:val="0"/>
        </w:rPr>
      </w:pPr>
      <w:r>
        <w:rPr>
          <w:snapToGrid w:val="0"/>
        </w:rPr>
        <w:tab/>
        <w:t>(a)</w:t>
      </w:r>
      <w:r>
        <w:rPr>
          <w:snapToGrid w:val="0"/>
        </w:rPr>
        <w:tab/>
        <w:t>carried out because of emergency circumstances involving danger to any person or property or the risk of supply being disrupted; or</w:t>
      </w:r>
    </w:p>
    <w:p>
      <w:pPr>
        <w:pStyle w:val="Indenta"/>
        <w:rPr>
          <w:snapToGrid w:val="0"/>
        </w:rPr>
      </w:pPr>
      <w:r>
        <w:rPr>
          <w:snapToGrid w:val="0"/>
        </w:rPr>
        <w:tab/>
        <w:t>(b)</w:t>
      </w:r>
      <w:r>
        <w:rPr>
          <w:snapToGrid w:val="0"/>
        </w:rPr>
        <w:tab/>
        <w:t>carried out by an electrical contractor exempted in writing by the Director from the requirement to deliver preliminary notice, subject to any conditions that are imposed in respect of the exemption.</w:t>
      </w:r>
    </w:p>
    <w:p>
      <w:pPr>
        <w:pStyle w:val="Subsection"/>
        <w:rPr>
          <w:snapToGrid w:val="0"/>
        </w:rPr>
      </w:pPr>
      <w:r>
        <w:rPr>
          <w:snapToGrid w:val="0"/>
        </w:rPr>
        <w:tab/>
        <w:t>(3)</w:t>
      </w:r>
      <w:r>
        <w:rPr>
          <w:snapToGrid w:val="0"/>
        </w:rPr>
        <w:tab/>
        <w:t>In this regulation — </w:t>
      </w:r>
    </w:p>
    <w:p>
      <w:pPr>
        <w:pStyle w:val="Defstart"/>
        <w:spacing w:before="120"/>
      </w:pPr>
      <w:r>
        <w:rPr>
          <w:b/>
        </w:rPr>
        <w:tab/>
        <w:t>“</w:t>
      </w:r>
      <w:r>
        <w:rPr>
          <w:rStyle w:val="CharDefText"/>
          <w:bCs/>
        </w:rPr>
        <w:t>electrical installing work</w:t>
      </w:r>
      <w:r>
        <w:rPr>
          <w:b/>
        </w:rPr>
        <w:t>”</w:t>
      </w:r>
      <w:r>
        <w:t xml:space="preserve"> means electrical installing work other than minor work or maintenance work;</w:t>
      </w:r>
    </w:p>
    <w:p>
      <w:pPr>
        <w:pStyle w:val="Defstart"/>
        <w:spacing w:before="120"/>
      </w:pPr>
      <w:r>
        <w:rPr>
          <w:b/>
        </w:rPr>
        <w:tab/>
        <w:t>“</w:t>
      </w:r>
      <w:r>
        <w:rPr>
          <w:rStyle w:val="CharDefText"/>
          <w:bCs/>
        </w:rPr>
        <w:t>preliminary notice</w:t>
      </w:r>
      <w:r>
        <w:rPr>
          <w:b/>
        </w:rPr>
        <w:t>”</w:t>
      </w:r>
      <w:r>
        <w:t xml:space="preserve"> means preliminary notice in a form approved by the Director and duly completed;</w:t>
      </w:r>
    </w:p>
    <w:p>
      <w:pPr>
        <w:pStyle w:val="Defstart"/>
        <w:spacing w:before="120"/>
      </w:pPr>
      <w:r>
        <w:rPr>
          <w:b/>
        </w:rPr>
        <w:tab/>
        <w:t>“</w:t>
      </w:r>
      <w:r>
        <w:rPr>
          <w:rStyle w:val="CharDefText"/>
          <w:bCs/>
        </w:rPr>
        <w:t>the required time</w:t>
      </w:r>
      <w:r>
        <w:rPr>
          <w:b/>
        </w:rPr>
        <w:t>”</w:t>
      </w:r>
      <w:r>
        <w:t>, in relation to giving preliminary notice of proposed electrical installing work, means — </w:t>
      </w:r>
    </w:p>
    <w:p>
      <w:pPr>
        <w:pStyle w:val="Defpara"/>
      </w:pPr>
      <w:r>
        <w:tab/>
        <w:t>(a)</w:t>
      </w:r>
      <w:r>
        <w:tab/>
        <w:t>at least 3 working days before the proposed electrical installing work is begun, if the electrical contractor requires advice from the relevant supply authority in relation to the proposed electrical installing work before it is begun; or</w:t>
      </w:r>
    </w:p>
    <w:p>
      <w:pPr>
        <w:pStyle w:val="Defpara"/>
      </w:pPr>
      <w:r>
        <w:tab/>
        <w:t>(b)</w:t>
      </w:r>
      <w:r>
        <w:tab/>
        <w:t>at any time before the proposed electrical installing work is begun, if the electrical contractor does not require such advice.</w:t>
      </w:r>
    </w:p>
    <w:p>
      <w:pPr>
        <w:pStyle w:val="Footnotesection"/>
      </w:pPr>
      <w:r>
        <w:tab/>
        <w:t xml:space="preserve">[Regulation 51 inserted in Gazette 6 Sep 1996 p. 4417.] </w:t>
      </w:r>
    </w:p>
    <w:p>
      <w:pPr>
        <w:pStyle w:val="Heading5"/>
        <w:rPr>
          <w:snapToGrid w:val="0"/>
        </w:rPr>
      </w:pPr>
      <w:bookmarkStart w:id="345" w:name="_Toc31684986"/>
      <w:bookmarkStart w:id="346" w:name="_Toc92790663"/>
      <w:bookmarkStart w:id="347" w:name="_Toc92965292"/>
      <w:bookmarkStart w:id="348" w:name="_Toc112151116"/>
      <w:bookmarkStart w:id="349" w:name="_Toc186871639"/>
      <w:r>
        <w:rPr>
          <w:rStyle w:val="CharSectno"/>
        </w:rPr>
        <w:t>52</w:t>
      </w:r>
      <w:r>
        <w:rPr>
          <w:snapToGrid w:val="0"/>
        </w:rPr>
        <w:t>.</w:t>
      </w:r>
      <w:r>
        <w:rPr>
          <w:snapToGrid w:val="0"/>
        </w:rPr>
        <w:tab/>
        <w:t>Notice of completion</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Subject to subregulation (2), an electrical contractor who carries out any electrical installing work, including minor work but excluding maintenance work, or causes any electrical installing work, including minor work but excluding maintenance work, to be carried out, commits an offence if upon completion of the electrical installing work a notice of completion, in a form approved by the Director and duly completed, is not prepared in respect of the work and sent to the relevant supply authority — </w:t>
      </w:r>
    </w:p>
    <w:p>
      <w:pPr>
        <w:pStyle w:val="Indenta"/>
        <w:rPr>
          <w:snapToGrid w:val="0"/>
        </w:rPr>
      </w:pPr>
      <w:r>
        <w:rPr>
          <w:snapToGrid w:val="0"/>
        </w:rPr>
        <w:tab/>
        <w:t>(a)</w:t>
      </w:r>
      <w:r>
        <w:rPr>
          <w:snapToGrid w:val="0"/>
        </w:rPr>
        <w:tab/>
        <w:t>in the case of electrical work, other than minor work, within 3 working days;</w:t>
      </w:r>
    </w:p>
    <w:p>
      <w:pPr>
        <w:pStyle w:val="Indenta"/>
        <w:rPr>
          <w:snapToGrid w:val="0"/>
        </w:rPr>
      </w:pPr>
      <w:r>
        <w:rPr>
          <w:snapToGrid w:val="0"/>
        </w:rPr>
        <w:tab/>
        <w:t>(b)</w:t>
      </w:r>
      <w:r>
        <w:rPr>
          <w:snapToGrid w:val="0"/>
        </w:rPr>
        <w:tab/>
        <w:t>in the case of minor work, within 28 days.</w:t>
      </w:r>
    </w:p>
    <w:p>
      <w:pPr>
        <w:pStyle w:val="Subsection"/>
        <w:rPr>
          <w:snapToGrid w:val="0"/>
        </w:rPr>
      </w:pPr>
      <w:r>
        <w:rPr>
          <w:snapToGrid w:val="0"/>
        </w:rPr>
        <w:tab/>
        <w:t>(2)</w:t>
      </w:r>
      <w:r>
        <w:rPr>
          <w:snapToGrid w:val="0"/>
        </w:rPr>
        <w:tab/>
        <w:t>Subregulation (1) does not apply to electrical installing work carried out, or caused to be carried out, by an electrical contractor exempted in writing by the Director from the requirement to prepare and send a notice of completion, subject to any conditions that are imposed in respect of the exemption.</w:t>
      </w:r>
    </w:p>
    <w:p>
      <w:pPr>
        <w:pStyle w:val="Subsection"/>
        <w:rPr>
          <w:snapToGrid w:val="0"/>
        </w:rPr>
      </w:pPr>
      <w:r>
        <w:rPr>
          <w:snapToGrid w:val="0"/>
        </w:rPr>
        <w:tab/>
        <w:t>(3)</w:t>
      </w:r>
      <w:r>
        <w:rPr>
          <w:snapToGrid w:val="0"/>
        </w:rPr>
        <w:tab/>
        <w:t>An electrical contractor who sends a notice of completion to the relevant supply authority in respect of electrical installing work that has not been completed commits an offence.</w:t>
      </w:r>
    </w:p>
    <w:p>
      <w:pPr>
        <w:pStyle w:val="Subsection"/>
        <w:rPr>
          <w:snapToGrid w:val="0"/>
        </w:rPr>
      </w:pPr>
      <w:r>
        <w:rPr>
          <w:snapToGrid w:val="0"/>
        </w:rPr>
        <w:tab/>
        <w:t>(4)</w:t>
      </w:r>
      <w:r>
        <w:rPr>
          <w:snapToGrid w:val="0"/>
        </w:rPr>
        <w:tab/>
        <w:t>In subregulation (1) — </w:t>
      </w:r>
    </w:p>
    <w:p>
      <w:pPr>
        <w:pStyle w:val="Defstart"/>
      </w:pPr>
      <w:r>
        <w:rPr>
          <w:b/>
        </w:rPr>
        <w:tab/>
        <w:t>“minor work”</w:t>
      </w:r>
      <w:r>
        <w:t xml:space="preserve"> does not include minor work carried out at a mine.</w:t>
      </w:r>
    </w:p>
    <w:p>
      <w:pPr>
        <w:pStyle w:val="Footnotesection"/>
      </w:pPr>
      <w:r>
        <w:tab/>
        <w:t>[Regulation 52 amended in Gazette 23 Dec 1994 p. 7134; 6 Sep 1996 p. 4417</w:t>
      </w:r>
      <w:r>
        <w:noBreakHyphen/>
        <w:t xml:space="preserve">18.] </w:t>
      </w:r>
    </w:p>
    <w:p>
      <w:pPr>
        <w:pStyle w:val="Heading5"/>
        <w:rPr>
          <w:snapToGrid w:val="0"/>
        </w:rPr>
      </w:pPr>
      <w:bookmarkStart w:id="350" w:name="_Toc31684987"/>
      <w:bookmarkStart w:id="351" w:name="_Toc92790664"/>
      <w:bookmarkStart w:id="352" w:name="_Toc92965293"/>
      <w:bookmarkStart w:id="353" w:name="_Toc112151117"/>
      <w:bookmarkStart w:id="354" w:name="_Toc186871640"/>
      <w:r>
        <w:rPr>
          <w:rStyle w:val="CharSectno"/>
        </w:rPr>
        <w:t>53</w:t>
      </w:r>
      <w:r>
        <w:rPr>
          <w:snapToGrid w:val="0"/>
        </w:rPr>
        <w:t>.</w:t>
      </w:r>
      <w:r>
        <w:rPr>
          <w:snapToGrid w:val="0"/>
        </w:rPr>
        <w:tab/>
        <w:t>Work other than by electrical contractors and unlicensed persons</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person referred to in regulation 33(2)(a) who carries out electrical installing work or causes a person employed by him or her to carry out any electrical installing work and any person who is a nominated person under regulation 37(1)(a) shall comply with regulations 51 and 52 as if he or she were an electrical contractor except to the extent that he or she is exempted in writing by the Director from the requirement to so comply and subject to such conditions as are imposed in respect of such exemption.</w:t>
      </w:r>
    </w:p>
    <w:p>
      <w:pPr>
        <w:pStyle w:val="Subsection"/>
        <w:keepNext/>
        <w:keepLines/>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Footnotesection"/>
      </w:pPr>
      <w:r>
        <w:tab/>
        <w:t xml:space="preserve">[Regulation 53 amended in Gazette 23 Dec 1994 p. 7134.] </w:t>
      </w:r>
    </w:p>
    <w:p>
      <w:pPr>
        <w:pStyle w:val="Heading5"/>
        <w:rPr>
          <w:snapToGrid w:val="0"/>
        </w:rPr>
      </w:pPr>
      <w:bookmarkStart w:id="355" w:name="_Toc31684988"/>
      <w:bookmarkStart w:id="356" w:name="_Toc92790665"/>
      <w:bookmarkStart w:id="357" w:name="_Toc92965294"/>
      <w:bookmarkStart w:id="358" w:name="_Toc112151118"/>
      <w:bookmarkStart w:id="359" w:name="_Toc186871641"/>
      <w:r>
        <w:rPr>
          <w:rStyle w:val="CharSectno"/>
        </w:rPr>
        <w:t>53A</w:t>
      </w:r>
      <w:r>
        <w:rPr>
          <w:snapToGrid w:val="0"/>
        </w:rPr>
        <w:t xml:space="preserve">. </w:t>
      </w:r>
      <w:r>
        <w:rPr>
          <w:snapToGrid w:val="0"/>
        </w:rPr>
        <w:tab/>
        <w:t>Further inspection fee</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Subject to subregulation (2), where — </w:t>
      </w:r>
    </w:p>
    <w:p>
      <w:pPr>
        <w:pStyle w:val="Indenta"/>
        <w:rPr>
          <w:snapToGrid w:val="0"/>
        </w:rPr>
      </w:pPr>
      <w:r>
        <w:rPr>
          <w:snapToGrid w:val="0"/>
        </w:rPr>
        <w:tab/>
        <w:t>(a)</w:t>
      </w:r>
      <w:r>
        <w:rPr>
          <w:snapToGrid w:val="0"/>
        </w:rPr>
        <w:tab/>
        <w:t>on receipt of a notice of completion under regulation 52; or</w:t>
      </w:r>
    </w:p>
    <w:p>
      <w:pPr>
        <w:pStyle w:val="Indenta"/>
        <w:rPr>
          <w:snapToGrid w:val="0"/>
        </w:rPr>
      </w:pPr>
      <w:r>
        <w:rPr>
          <w:snapToGrid w:val="0"/>
        </w:rPr>
        <w:tab/>
        <w:t>(b)</w:t>
      </w:r>
      <w:r>
        <w:rPr>
          <w:snapToGrid w:val="0"/>
        </w:rPr>
        <w:tab/>
        <w:t>a notice of completion is not received in relation to electrical work that requires a notice of completion,</w:t>
      </w:r>
    </w:p>
    <w:p>
      <w:pPr>
        <w:pStyle w:val="Subsection"/>
        <w:rPr>
          <w:snapToGrid w:val="0"/>
        </w:rPr>
      </w:pPr>
      <w:r>
        <w:rPr>
          <w:snapToGrid w:val="0"/>
        </w:rPr>
        <w:tab/>
      </w:r>
      <w:r>
        <w:rPr>
          <w:snapToGrid w:val="0"/>
        </w:rPr>
        <w:tab/>
        <w:t>an inspector is of the opinion that — </w:t>
      </w:r>
    </w:p>
    <w:p>
      <w:pPr>
        <w:pStyle w:val="Indenta"/>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the fee prescribed in item 3 of Schedule 1 is payable by the electrical contractor to the relevant supply authority in relation to each further inspection related to that failure.</w:t>
      </w:r>
    </w:p>
    <w:p>
      <w:pPr>
        <w:pStyle w:val="Subsection"/>
        <w:rPr>
          <w:snapToGrid w:val="0"/>
        </w:rPr>
      </w:pPr>
      <w:r>
        <w:rPr>
          <w:snapToGrid w:val="0"/>
        </w:rPr>
        <w:tab/>
        <w:t>(2)</w:t>
      </w:r>
      <w:r>
        <w:rPr>
          <w:snapToGrid w:val="0"/>
        </w:rPr>
        <w:tab/>
        <w:t>The supply authority may waive the payment of the fee prescribed under subregulation (1) or may require payment of the fee in advance of each further inspection.</w:t>
      </w:r>
    </w:p>
    <w:p>
      <w:pPr>
        <w:pStyle w:val="Footnotesection"/>
      </w:pPr>
      <w:r>
        <w:tab/>
        <w:t xml:space="preserve">[Regulation 53A inserted in Gazette 24 Apr 1992 p. 1729.] </w:t>
      </w:r>
    </w:p>
    <w:p>
      <w:pPr>
        <w:pStyle w:val="Heading5"/>
        <w:rPr>
          <w:snapToGrid w:val="0"/>
        </w:rPr>
      </w:pPr>
      <w:bookmarkStart w:id="360" w:name="_Toc31684989"/>
      <w:bookmarkStart w:id="361" w:name="_Toc92790666"/>
      <w:bookmarkStart w:id="362" w:name="_Toc92965295"/>
      <w:bookmarkStart w:id="363" w:name="_Toc112151119"/>
      <w:bookmarkStart w:id="364" w:name="_Toc186871642"/>
      <w:r>
        <w:rPr>
          <w:rStyle w:val="CharSectno"/>
        </w:rPr>
        <w:t>54</w:t>
      </w:r>
      <w:r>
        <w:rPr>
          <w:snapToGrid w:val="0"/>
        </w:rPr>
        <w:t>.</w:t>
      </w:r>
      <w:r>
        <w:rPr>
          <w:snapToGrid w:val="0"/>
        </w:rPr>
        <w:tab/>
        <w:t>Signing of notices</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Where a notice of completion that is sent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w:t>
      </w:r>
    </w:p>
    <w:p>
      <w:pPr>
        <w:pStyle w:val="Indenta"/>
        <w:rPr>
          <w:snapToGrid w:val="0"/>
        </w:rPr>
      </w:pPr>
      <w:r>
        <w:rPr>
          <w:snapToGrid w:val="0"/>
        </w:rPr>
        <w:tab/>
        <w:t>(b)</w:t>
      </w:r>
      <w:r>
        <w:rPr>
          <w:snapToGrid w:val="0"/>
        </w:rPr>
        <w:tab/>
        <w:t>a nominated electrical worker in respect of the licence held by the electrical contractor concerned;</w:t>
      </w:r>
    </w:p>
    <w:p>
      <w:pPr>
        <w:pStyle w:val="Indenta"/>
        <w:rPr>
          <w:snapToGrid w:val="0"/>
        </w:rPr>
      </w:pPr>
      <w:r>
        <w:rPr>
          <w:snapToGrid w:val="0"/>
        </w:rPr>
        <w:tab/>
        <w:t>(c)</w:t>
      </w:r>
      <w:r>
        <w:rPr>
          <w:snapToGrid w:val="0"/>
        </w:rPr>
        <w:tab/>
        <w:t>the nominated electrical worker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the nominated electrical worker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Heading2"/>
      </w:pPr>
      <w:bookmarkStart w:id="365" w:name="_Toc54672624"/>
      <w:bookmarkStart w:id="366" w:name="_Toc77479478"/>
      <w:bookmarkStart w:id="367" w:name="_Toc92790667"/>
      <w:bookmarkStart w:id="368" w:name="_Toc92790801"/>
      <w:bookmarkStart w:id="369" w:name="_Toc92965296"/>
      <w:bookmarkStart w:id="370" w:name="_Toc92965400"/>
      <w:bookmarkStart w:id="371" w:name="_Toc101593845"/>
      <w:bookmarkStart w:id="372" w:name="_Toc112133221"/>
      <w:bookmarkStart w:id="373" w:name="_Toc112151120"/>
      <w:bookmarkStart w:id="374" w:name="_Toc133305799"/>
      <w:bookmarkStart w:id="375" w:name="_Toc135028311"/>
      <w:bookmarkStart w:id="376" w:name="_Toc135121864"/>
      <w:bookmarkStart w:id="377" w:name="_Toc136661049"/>
      <w:bookmarkStart w:id="378" w:name="_Toc136661240"/>
      <w:bookmarkStart w:id="379" w:name="_Toc136662550"/>
      <w:bookmarkStart w:id="380" w:name="_Toc139258307"/>
      <w:bookmarkStart w:id="381" w:name="_Toc170722104"/>
      <w:bookmarkStart w:id="382" w:name="_Toc186871643"/>
      <w:r>
        <w:rPr>
          <w:rStyle w:val="CharPartNo"/>
        </w:rPr>
        <w:t>Part 6</w:t>
      </w:r>
      <w:r>
        <w:rPr>
          <w:rStyle w:val="CharDivNo"/>
        </w:rPr>
        <w:t> </w:t>
      </w:r>
      <w:r>
        <w:t>—</w:t>
      </w:r>
      <w:r>
        <w:rPr>
          <w:rStyle w:val="CharDivText"/>
        </w:rPr>
        <w:t> </w:t>
      </w:r>
      <w:r>
        <w:rPr>
          <w:rStyle w:val="CharPartText"/>
        </w:rPr>
        <w:t>Miscellaneous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PartText"/>
        </w:rPr>
        <w:t xml:space="preserve"> </w:t>
      </w:r>
    </w:p>
    <w:p>
      <w:pPr>
        <w:pStyle w:val="Heading5"/>
        <w:rPr>
          <w:snapToGrid w:val="0"/>
        </w:rPr>
      </w:pPr>
      <w:bookmarkStart w:id="383" w:name="_Toc31684990"/>
      <w:bookmarkStart w:id="384" w:name="_Toc92790668"/>
      <w:bookmarkStart w:id="385" w:name="_Toc92965297"/>
      <w:bookmarkStart w:id="386" w:name="_Toc112151121"/>
      <w:bookmarkStart w:id="387" w:name="_Toc186871644"/>
      <w:r>
        <w:rPr>
          <w:rStyle w:val="CharSectno"/>
        </w:rPr>
        <w:t>55</w:t>
      </w:r>
      <w:r>
        <w:rPr>
          <w:snapToGrid w:val="0"/>
        </w:rPr>
        <w:t>.</w:t>
      </w:r>
      <w:r>
        <w:rPr>
          <w:snapToGrid w:val="0"/>
        </w:rPr>
        <w:tab/>
        <w:t>Powers of entry and inspection</w:t>
      </w:r>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The Board, or any member thereof with the consent of the Board, may for the purposes of — </w:t>
      </w:r>
    </w:p>
    <w:p>
      <w:pPr>
        <w:pStyle w:val="Indenta"/>
        <w:rPr>
          <w:snapToGrid w:val="0"/>
        </w:rPr>
      </w:pPr>
      <w:r>
        <w:rPr>
          <w:snapToGrid w:val="0"/>
        </w:rPr>
        <w:tab/>
        <w:t>(a)</w:t>
      </w:r>
      <w:r>
        <w:rPr>
          <w:snapToGrid w:val="0"/>
        </w:rPr>
        <w:tab/>
        <w:t>carrying out any inspection under these regulations; or</w:t>
      </w:r>
    </w:p>
    <w:p>
      <w:pPr>
        <w:pStyle w:val="Indenta"/>
        <w:rPr>
          <w:snapToGrid w:val="0"/>
        </w:rPr>
      </w:pPr>
      <w:r>
        <w:rPr>
          <w:snapToGrid w:val="0"/>
        </w:rPr>
        <w:tab/>
        <w:t>(b)</w:t>
      </w:r>
      <w:r>
        <w:rPr>
          <w:snapToGrid w:val="0"/>
        </w:rPr>
        <w:tab/>
        <w:t>requesting any electrical worker to produce his or her electrical licence or permit,</w:t>
      </w:r>
    </w:p>
    <w:p>
      <w:pPr>
        <w:pStyle w:val="Subsection"/>
        <w:rPr>
          <w:snapToGrid w:val="0"/>
        </w:rPr>
      </w:pPr>
      <w:r>
        <w:rPr>
          <w:snapToGrid w:val="0"/>
        </w:rPr>
        <w:tab/>
      </w:r>
      <w:r>
        <w:rPr>
          <w:snapToGrid w:val="0"/>
        </w:rPr>
        <w:tab/>
        <w:t>enter any place or premises at all reasonable times without having any consent or warrant other than these regulations.</w:t>
      </w:r>
    </w:p>
    <w:p>
      <w:pPr>
        <w:pStyle w:val="Heading5"/>
        <w:rPr>
          <w:snapToGrid w:val="0"/>
        </w:rPr>
      </w:pPr>
      <w:bookmarkStart w:id="388" w:name="_Toc31684991"/>
      <w:bookmarkStart w:id="389" w:name="_Toc92790669"/>
      <w:bookmarkStart w:id="390" w:name="_Toc92965298"/>
      <w:bookmarkStart w:id="391" w:name="_Toc112151122"/>
      <w:bookmarkStart w:id="392" w:name="_Toc186871645"/>
      <w:r>
        <w:rPr>
          <w:rStyle w:val="CharSectno"/>
        </w:rPr>
        <w:t>56</w:t>
      </w:r>
      <w:r>
        <w:rPr>
          <w:snapToGrid w:val="0"/>
        </w:rPr>
        <w:t>.</w:t>
      </w:r>
      <w:r>
        <w:rPr>
          <w:snapToGrid w:val="0"/>
        </w:rPr>
        <w:tab/>
        <w:t>Register</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393" w:name="_Toc31684992"/>
      <w:bookmarkStart w:id="394" w:name="_Toc92790670"/>
      <w:bookmarkStart w:id="395" w:name="_Toc92965299"/>
      <w:bookmarkStart w:id="396" w:name="_Toc112151123"/>
      <w:bookmarkStart w:id="397" w:name="_Toc186871646"/>
      <w:r>
        <w:rPr>
          <w:rStyle w:val="CharSectno"/>
        </w:rPr>
        <w:t>57</w:t>
      </w:r>
      <w:r>
        <w:rPr>
          <w:snapToGrid w:val="0"/>
        </w:rPr>
        <w:t>.</w:t>
      </w:r>
      <w:r>
        <w:rPr>
          <w:snapToGrid w:val="0"/>
        </w:rPr>
        <w:tab/>
        <w:t>Record of electrical workers employed</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398" w:name="_Toc31684993"/>
      <w:bookmarkStart w:id="399" w:name="_Toc92790671"/>
      <w:bookmarkStart w:id="400" w:name="_Toc92965300"/>
      <w:bookmarkStart w:id="401" w:name="_Toc112151124"/>
      <w:bookmarkStart w:id="402" w:name="_Toc186871647"/>
      <w:r>
        <w:rPr>
          <w:rStyle w:val="CharSectno"/>
        </w:rPr>
        <w:t>58</w:t>
      </w:r>
      <w:r>
        <w:rPr>
          <w:snapToGrid w:val="0"/>
        </w:rPr>
        <w:t>.</w:t>
      </w:r>
      <w:r>
        <w:rPr>
          <w:snapToGrid w:val="0"/>
        </w:rPr>
        <w:tab/>
        <w:t>Notice to produce licence and current registration certificate</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403" w:name="_Toc31684994"/>
      <w:bookmarkStart w:id="404" w:name="_Toc92790672"/>
      <w:bookmarkStart w:id="405" w:name="_Toc92965301"/>
      <w:bookmarkStart w:id="406" w:name="_Toc112151125"/>
      <w:bookmarkStart w:id="407" w:name="_Toc186871648"/>
      <w:r>
        <w:rPr>
          <w:rStyle w:val="CharSectno"/>
        </w:rPr>
        <w:t>59</w:t>
      </w:r>
      <w:r>
        <w:rPr>
          <w:snapToGrid w:val="0"/>
        </w:rPr>
        <w:t>.</w:t>
      </w:r>
      <w:r>
        <w:rPr>
          <w:snapToGrid w:val="0"/>
        </w:rPr>
        <w:tab/>
        <w:t>Offences related to licensing</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408" w:name="_Toc31684995"/>
      <w:bookmarkStart w:id="409" w:name="_Toc92790673"/>
      <w:bookmarkStart w:id="410" w:name="_Toc92965302"/>
      <w:bookmarkStart w:id="411" w:name="_Toc112151126"/>
      <w:bookmarkStart w:id="412" w:name="_Toc186871649"/>
      <w:r>
        <w:rPr>
          <w:rStyle w:val="CharSectno"/>
        </w:rPr>
        <w:t>60</w:t>
      </w:r>
      <w:r>
        <w:rPr>
          <w:snapToGrid w:val="0"/>
        </w:rPr>
        <w:t>.</w:t>
      </w:r>
      <w:r>
        <w:rPr>
          <w:snapToGrid w:val="0"/>
        </w:rPr>
        <w:tab/>
        <w:t>Duplicate of licence or permit document</w:t>
      </w:r>
      <w:bookmarkEnd w:id="408"/>
      <w:bookmarkEnd w:id="409"/>
      <w:bookmarkEnd w:id="410"/>
      <w:bookmarkEnd w:id="411"/>
      <w:bookmarkEnd w:id="412"/>
      <w:r>
        <w:rPr>
          <w:snapToGrid w:val="0"/>
        </w:rPr>
        <w:t xml:space="preserve"> </w:t>
      </w:r>
    </w:p>
    <w:p>
      <w:pPr>
        <w:pStyle w:val="Subsection"/>
        <w:spacing w:before="120"/>
        <w:rPr>
          <w:snapToGrid w:val="0"/>
        </w:rPr>
      </w:pPr>
      <w:r>
        <w:rPr>
          <w:snapToGrid w:val="0"/>
        </w:rPr>
        <w:tab/>
        <w:t>(1)</w:t>
      </w:r>
      <w:r>
        <w:rPr>
          <w:snapToGrid w:val="0"/>
        </w:rPr>
        <w:tab/>
        <w:t>Where the Board is satisfied that a licence or permit document has been lost, defaced, mutilated, or destroyed it may, on application in writing to the Board and payment of the appropriate fee set out in Schedule 1, issue to the holder a copy of the licence or permit document.</w:t>
      </w:r>
    </w:p>
    <w:p>
      <w:pPr>
        <w:pStyle w:val="Subsection"/>
        <w:spacing w:before="120"/>
        <w:rPr>
          <w:snapToGrid w:val="0"/>
        </w:rPr>
      </w:pPr>
      <w:r>
        <w:rPr>
          <w:snapToGrid w:val="0"/>
        </w:rPr>
        <w:tab/>
        <w:t>(2)</w:t>
      </w:r>
      <w:r>
        <w:rPr>
          <w:snapToGrid w:val="0"/>
        </w:rPr>
        <w:tab/>
        <w:t>The Board may decline to issue under subregulation (1) a copy of a licence or permit document that has been defaced or mutilated until the defaced or mutilated licence or permit document is returned to the Board.</w:t>
      </w:r>
    </w:p>
    <w:p>
      <w:pPr>
        <w:pStyle w:val="Subsection"/>
        <w:spacing w:before="120"/>
        <w:rPr>
          <w:snapToGrid w:val="0"/>
        </w:rPr>
      </w:pPr>
      <w:r>
        <w:rPr>
          <w:snapToGrid w:val="0"/>
        </w:rPr>
        <w:tab/>
        <w:t>(3)</w:t>
      </w:r>
      <w:r>
        <w:rPr>
          <w:snapToGrid w:val="0"/>
        </w:rPr>
        <w:tab/>
        <w:t>A copy issued under this regulation shall be regarded for the purposes of these regulations as if it were the original licence or permit document of which it is a copy.</w:t>
      </w:r>
    </w:p>
    <w:p>
      <w:pPr>
        <w:pStyle w:val="Heading5"/>
        <w:rPr>
          <w:snapToGrid w:val="0"/>
        </w:rPr>
      </w:pPr>
      <w:bookmarkStart w:id="413" w:name="_Toc31684996"/>
      <w:bookmarkStart w:id="414" w:name="_Toc92790674"/>
      <w:bookmarkStart w:id="415" w:name="_Toc92965303"/>
      <w:bookmarkStart w:id="416" w:name="_Toc112151127"/>
      <w:bookmarkStart w:id="417" w:name="_Toc186871650"/>
      <w:r>
        <w:rPr>
          <w:rStyle w:val="CharSectno"/>
        </w:rPr>
        <w:t>61</w:t>
      </w:r>
      <w:r>
        <w:rPr>
          <w:snapToGrid w:val="0"/>
        </w:rPr>
        <w:t>.</w:t>
      </w:r>
      <w:r>
        <w:rPr>
          <w:snapToGrid w:val="0"/>
        </w:rPr>
        <w:tab/>
        <w:t>Return of licence or permit document</w:t>
      </w:r>
      <w:bookmarkEnd w:id="413"/>
      <w:bookmarkEnd w:id="414"/>
      <w:bookmarkEnd w:id="415"/>
      <w:bookmarkEnd w:id="416"/>
      <w:bookmarkEnd w:id="417"/>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31(2)(c) or 47(2)(b);</w:t>
      </w:r>
    </w:p>
    <w:p>
      <w:pPr>
        <w:pStyle w:val="Indenta"/>
        <w:rPr>
          <w:snapToGrid w:val="0"/>
        </w:rPr>
      </w:pPr>
      <w:r>
        <w:rPr>
          <w:snapToGrid w:val="0"/>
        </w:rPr>
        <w:tab/>
        <w:t>(b)</w:t>
      </w:r>
      <w:r>
        <w:rPr>
          <w:snapToGrid w:val="0"/>
        </w:rPr>
        <w:tab/>
        <w:t>the cancellation of the licence or permit under regulation </w:t>
      </w:r>
      <w:r>
        <w:t>31(2)(a)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6996-7.]</w:t>
      </w:r>
    </w:p>
    <w:p>
      <w:pPr>
        <w:pStyle w:val="Heading5"/>
        <w:rPr>
          <w:snapToGrid w:val="0"/>
        </w:rPr>
      </w:pPr>
      <w:bookmarkStart w:id="418" w:name="_Toc31684997"/>
      <w:bookmarkStart w:id="419" w:name="_Toc92790675"/>
      <w:bookmarkStart w:id="420" w:name="_Toc92965304"/>
      <w:bookmarkStart w:id="421" w:name="_Toc112151128"/>
      <w:bookmarkStart w:id="422" w:name="_Toc186871651"/>
      <w:r>
        <w:rPr>
          <w:rStyle w:val="CharSectno"/>
        </w:rPr>
        <w:t>62</w:t>
      </w:r>
      <w:r>
        <w:rPr>
          <w:snapToGrid w:val="0"/>
        </w:rPr>
        <w:t>.</w:t>
      </w:r>
      <w:r>
        <w:rPr>
          <w:snapToGrid w:val="0"/>
        </w:rPr>
        <w:tab/>
        <w:t>Defects to be reported</w:t>
      </w:r>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Subject to subregulation (2), where it appears to an electrical worker that there is a defect in any electrical installation or electrical equipment that renders the electrical installation or electrical equipment unsafe, the electrical worker shall immediately report the matter to the owner or operator of the installation, to the relevant supply authority and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w:t>
      </w:r>
    </w:p>
    <w:p>
      <w:pPr>
        <w:pStyle w:val="Heading5"/>
        <w:rPr>
          <w:snapToGrid w:val="0"/>
        </w:rPr>
      </w:pPr>
      <w:bookmarkStart w:id="423" w:name="_Toc31684998"/>
      <w:bookmarkStart w:id="424" w:name="_Toc92790676"/>
      <w:bookmarkStart w:id="425" w:name="_Toc92965305"/>
      <w:bookmarkStart w:id="426" w:name="_Toc112151129"/>
      <w:bookmarkStart w:id="427" w:name="_Toc186871652"/>
      <w:r>
        <w:rPr>
          <w:rStyle w:val="CharSectno"/>
        </w:rPr>
        <w:t>63</w:t>
      </w:r>
      <w:r>
        <w:rPr>
          <w:snapToGrid w:val="0"/>
        </w:rPr>
        <w:t>.</w:t>
      </w:r>
      <w:r>
        <w:rPr>
          <w:snapToGrid w:val="0"/>
        </w:rPr>
        <w:tab/>
        <w:t>Accidents to be reported</w:t>
      </w:r>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Where an accident that has caused or is likely to cause danger to life or property has occurred any person who is aware of the accident or danger shall immediately report the fact to the Director and the relevant supply authority but if the person is an electrical worker in the course of his or her employment it is sufficient for the purposes of this regulation if the report is made to the employer of that person.</w:t>
      </w:r>
    </w:p>
    <w:p>
      <w:pPr>
        <w:pStyle w:val="Subsection"/>
        <w:rPr>
          <w:snapToGrid w:val="0"/>
        </w:rPr>
      </w:pPr>
      <w:r>
        <w:rPr>
          <w:snapToGrid w:val="0"/>
        </w:rPr>
        <w:tab/>
        <w:t>(2)</w:t>
      </w:r>
      <w:r>
        <w:rPr>
          <w:snapToGrid w:val="0"/>
        </w:rPr>
        <w:tab/>
        <w:t>Any report made to an employer under subregulation (1) shall be reported to the relevant supply authority and Director.</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accident</w:t>
      </w:r>
      <w:r>
        <w:rPr>
          <w:b/>
        </w:rPr>
        <w:t>”</w:t>
      </w:r>
      <w:r>
        <w:t xml:space="preserve"> means an accident that results from a sudden discharge of electricity or that otherwise has, or may have, electrical origins.</w:t>
      </w:r>
    </w:p>
    <w:p>
      <w:pPr>
        <w:pStyle w:val="Footnotesection"/>
      </w:pPr>
      <w:r>
        <w:tab/>
        <w:t xml:space="preserve">[Regulation 63 amended in Gazette 23 Dec 1994 p. 7134; 6 Sep 1996 p. 4419.] </w:t>
      </w:r>
    </w:p>
    <w:p>
      <w:pPr>
        <w:pStyle w:val="Heading5"/>
        <w:rPr>
          <w:snapToGrid w:val="0"/>
        </w:rPr>
      </w:pPr>
      <w:bookmarkStart w:id="428" w:name="_Toc31684999"/>
      <w:bookmarkStart w:id="429" w:name="_Toc92790677"/>
      <w:bookmarkStart w:id="430" w:name="_Toc92965306"/>
      <w:bookmarkStart w:id="431" w:name="_Toc112151130"/>
      <w:bookmarkStart w:id="432" w:name="_Toc186871653"/>
      <w:r>
        <w:rPr>
          <w:rStyle w:val="CharSectno"/>
        </w:rPr>
        <w:t>63A</w:t>
      </w:r>
      <w:r>
        <w:rPr>
          <w:snapToGrid w:val="0"/>
        </w:rPr>
        <w:t xml:space="preserve">. </w:t>
      </w:r>
      <w:r>
        <w:rPr>
          <w:snapToGrid w:val="0"/>
        </w:rPr>
        <w:tab/>
        <w:t>Interference with scene of accident</w:t>
      </w:r>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A person shall not do anything at the place at which an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w:t>
      </w:r>
    </w:p>
    <w:p>
      <w:pPr>
        <w:pStyle w:val="Heading5"/>
      </w:pPr>
      <w:bookmarkStart w:id="433" w:name="_Toc92790678"/>
      <w:bookmarkStart w:id="434" w:name="_Toc92965307"/>
      <w:bookmarkStart w:id="435" w:name="_Toc112151131"/>
      <w:bookmarkStart w:id="436" w:name="_Toc186871654"/>
      <w:bookmarkStart w:id="437" w:name="_Toc31685000"/>
      <w:r>
        <w:rPr>
          <w:rStyle w:val="CharSectno"/>
        </w:rPr>
        <w:t>63B</w:t>
      </w:r>
      <w:r>
        <w:t>.</w:t>
      </w:r>
      <w:r>
        <w:tab/>
        <w:t>Delegation by Director</w:t>
      </w:r>
      <w:bookmarkEnd w:id="433"/>
      <w:bookmarkEnd w:id="434"/>
      <w:bookmarkEnd w:id="435"/>
      <w:bookmarkEnd w:id="436"/>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438" w:name="_Toc92790679"/>
      <w:bookmarkStart w:id="439" w:name="_Toc92965308"/>
      <w:bookmarkStart w:id="440" w:name="_Toc112151132"/>
      <w:bookmarkStart w:id="441" w:name="_Toc186871655"/>
      <w:r>
        <w:rPr>
          <w:rStyle w:val="CharSectno"/>
        </w:rPr>
        <w:t>64</w:t>
      </w:r>
      <w:r>
        <w:rPr>
          <w:snapToGrid w:val="0"/>
        </w:rPr>
        <w:t>.</w:t>
      </w:r>
      <w:r>
        <w:rPr>
          <w:snapToGrid w:val="0"/>
        </w:rPr>
        <w:tab/>
        <w:t>Fees</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holder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w:t>
      </w:r>
    </w:p>
    <w:p>
      <w:pPr>
        <w:pStyle w:val="Heading5"/>
        <w:rPr>
          <w:snapToGrid w:val="0"/>
        </w:rPr>
      </w:pPr>
      <w:bookmarkStart w:id="442" w:name="_Toc31685001"/>
      <w:bookmarkStart w:id="443" w:name="_Toc92790680"/>
      <w:bookmarkStart w:id="444" w:name="_Toc92965309"/>
      <w:bookmarkStart w:id="445" w:name="_Toc112151133"/>
      <w:bookmarkStart w:id="446" w:name="_Toc186871656"/>
      <w:r>
        <w:rPr>
          <w:rStyle w:val="CharSectno"/>
        </w:rPr>
        <w:t>65</w:t>
      </w:r>
      <w:r>
        <w:rPr>
          <w:snapToGrid w:val="0"/>
        </w:rPr>
        <w:t>.</w:t>
      </w:r>
      <w:r>
        <w:rPr>
          <w:snapToGrid w:val="0"/>
        </w:rPr>
        <w:tab/>
        <w:t>General offence and penalty</w:t>
      </w:r>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A person who fails to do anything that person is required to do under these regulations or does anything that that person is prohibited from doing under these regulations commits an offence and is liable, where no other penalty is prescribed, to a fine — </w:t>
      </w:r>
    </w:p>
    <w:p>
      <w:pPr>
        <w:pStyle w:val="Indenta"/>
        <w:rPr>
          <w:snapToGrid w:val="0"/>
        </w:rPr>
      </w:pPr>
      <w:r>
        <w:rPr>
          <w:snapToGrid w:val="0"/>
        </w:rPr>
        <w:tab/>
        <w:t>(a)</w:t>
      </w:r>
      <w:r>
        <w:rPr>
          <w:snapToGrid w:val="0"/>
        </w:rPr>
        <w:tab/>
        <w:t>in the case of an individual, of $5 000;</w:t>
      </w:r>
    </w:p>
    <w:p>
      <w:pPr>
        <w:pStyle w:val="Indenta"/>
        <w:rPr>
          <w:snapToGrid w:val="0"/>
        </w:rPr>
      </w:pPr>
      <w:r>
        <w:rPr>
          <w:snapToGrid w:val="0"/>
        </w:rPr>
        <w:tab/>
        <w:t>(b)</w:t>
      </w:r>
      <w:r>
        <w:rPr>
          <w:snapToGrid w:val="0"/>
        </w:rPr>
        <w:tab/>
        <w:t>in the case of a corporation, of $20 000.</w:t>
      </w:r>
    </w:p>
    <w:p>
      <w:pPr>
        <w:pStyle w:val="Ednotesection"/>
        <w:rPr>
          <w:i w:val="0"/>
        </w:rPr>
      </w:pPr>
      <w:r>
        <w:t>[</w:t>
      </w:r>
      <w:r>
        <w:rPr>
          <w:b/>
        </w:rPr>
        <w:t>66.</w:t>
      </w:r>
      <w:r>
        <w:rPr>
          <w:b/>
        </w:rPr>
        <w:tab/>
      </w:r>
      <w:r>
        <w:t>Omitted under the Reprints Act 1984 s. 7(4)(e).]</w:t>
      </w:r>
    </w:p>
    <w:p>
      <w:pPr>
        <w:pStyle w:val="Heading5"/>
        <w:rPr>
          <w:snapToGrid w:val="0"/>
        </w:rPr>
      </w:pPr>
      <w:bookmarkStart w:id="447" w:name="_Toc31685003"/>
      <w:bookmarkStart w:id="448" w:name="_Toc92790681"/>
      <w:bookmarkStart w:id="449" w:name="_Toc92965310"/>
      <w:bookmarkStart w:id="450" w:name="_Toc112151134"/>
      <w:bookmarkStart w:id="451" w:name="_Toc186871657"/>
      <w:r>
        <w:rPr>
          <w:rStyle w:val="CharSectno"/>
        </w:rPr>
        <w:t>67</w:t>
      </w:r>
      <w:r>
        <w:rPr>
          <w:snapToGrid w:val="0"/>
        </w:rPr>
        <w:t>.</w:t>
      </w:r>
      <w:r>
        <w:rPr>
          <w:snapToGrid w:val="0"/>
        </w:rPr>
        <w:tab/>
        <w:t>Savings and transitional</w:t>
      </w:r>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Notwithstanding anything in these regulations, a licence or permit issued under the repealed regulations and in force immediately before the commencement day shall, subject to this regulation, continue in force after that day and the registration of the licence holder may be renewed, suspended or cancelled under these regulations as though it were a licence issued under these regulations and the holder of such a licence is subject to the provisions of these regulations accordingly.</w:t>
      </w:r>
    </w:p>
    <w:p>
      <w:pPr>
        <w:pStyle w:val="Subsection"/>
        <w:rPr>
          <w:snapToGrid w:val="0"/>
        </w:rPr>
      </w:pPr>
      <w:r>
        <w:rPr>
          <w:snapToGrid w:val="0"/>
        </w:rPr>
        <w:tab/>
        <w:t>(2)</w:t>
      </w:r>
      <w:r>
        <w:rPr>
          <w:snapToGrid w:val="0"/>
        </w:rPr>
        <w:tab/>
        <w:t>Notwithstanding anything in these regulations, a person who immediately before the commencement day held a licence or permit of the kind specified in column 1 of the Table to this regulation under the repealed regulations shall after that day be deemed to hold a licence of the kind specified opposite and corresponding to that kind of licence in column 2 of that Table, but subject to the conditions and stipulations specified in the licence held by him or her under the repealed regulations.</w:t>
      </w:r>
    </w:p>
    <w:p>
      <w:pPr>
        <w:pStyle w:val="Subsection"/>
        <w:rPr>
          <w:snapToGrid w:val="0"/>
        </w:rPr>
      </w:pPr>
      <w:r>
        <w:rPr>
          <w:snapToGrid w:val="0"/>
        </w:rPr>
        <w:tab/>
        <w:t>(3)</w:t>
      </w:r>
      <w:r>
        <w:rPr>
          <w:snapToGrid w:val="0"/>
        </w:rPr>
        <w:tab/>
        <w:t>Subject to these regulations, on the expiry of a licence issued under the repealed regulations the holder of the licence shall be issued with a licence or permit of the kind he or she is deemed to hold under subregulation (2) but subject to such conditions and stipulations as are specified in the licence issued under the repealed regulations or as determined by the Board in accordance with these regulations.</w:t>
      </w:r>
    </w:p>
    <w:p>
      <w:pPr>
        <w:pStyle w:val="Subsection"/>
        <w:rPr>
          <w:snapToGrid w:val="0"/>
        </w:rPr>
      </w:pPr>
      <w:r>
        <w:rPr>
          <w:snapToGrid w:val="0"/>
        </w:rPr>
        <w:tab/>
        <w:t>(4)</w:t>
      </w:r>
      <w:r>
        <w:rPr>
          <w:snapToGrid w:val="0"/>
        </w:rPr>
        <w:tab/>
        <w:t>Where a licence or permit issued under the repealed regulations is not one of the kinds of licence or permit referred to in the Table to this regulation the Board shall, not later than 30 days before the appointed day fixed in relation to regulation 19(1), issue to the holder of the licence a licence of a grade determined by the Board.</w:t>
      </w:r>
    </w:p>
    <w:p>
      <w:pPr>
        <w:pStyle w:val="Subsection"/>
        <w:rPr>
          <w:snapToGrid w:val="0"/>
        </w:rPr>
      </w:pPr>
      <w:r>
        <w:rPr>
          <w:snapToGrid w:val="0"/>
        </w:rPr>
        <w:tab/>
        <w:t>(5)</w:t>
      </w:r>
      <w:r>
        <w:rPr>
          <w:snapToGrid w:val="0"/>
        </w:rPr>
        <w:tab/>
        <w:t>A person who is aggrieved by a decision of the Board under subregulation (4) may, within 14 days of that decision, appeal to a Local Court and the Court may order the Board to issue to that person such licence as the Court thinks proper.</w:t>
      </w:r>
    </w:p>
    <w:p>
      <w:pPr>
        <w:pStyle w:val="Subsection"/>
        <w:rPr>
          <w:snapToGrid w:val="0"/>
        </w:rPr>
      </w:pPr>
      <w:r>
        <w:rPr>
          <w:snapToGrid w:val="0"/>
        </w:rPr>
        <w:tab/>
        <w:t>(6)</w:t>
      </w:r>
      <w:r>
        <w:rPr>
          <w:snapToGrid w:val="0"/>
        </w:rPr>
        <w:tab/>
        <w:t>In this regulation — </w:t>
      </w:r>
    </w:p>
    <w:p>
      <w:pPr>
        <w:pStyle w:val="Defstart"/>
      </w:pPr>
      <w:r>
        <w:rPr>
          <w:b/>
        </w:rPr>
        <w:tab/>
        <w:t>“</w:t>
      </w:r>
      <w:r>
        <w:rPr>
          <w:rStyle w:val="CharDefText"/>
        </w:rPr>
        <w:t>commencement day</w:t>
      </w:r>
      <w:r>
        <w:rPr>
          <w:b/>
        </w:rPr>
        <w:t>”</w:t>
      </w:r>
      <w:r>
        <w:t xml:space="preserve"> means the day that these regulations come into operation;</w:t>
      </w:r>
    </w:p>
    <w:p>
      <w:pPr>
        <w:pStyle w:val="Defstart"/>
      </w:pPr>
      <w:r>
        <w:rPr>
          <w:b/>
        </w:rPr>
        <w:tab/>
        <w:t>“</w:t>
      </w:r>
      <w:r>
        <w:rPr>
          <w:rStyle w:val="CharDefText"/>
        </w:rPr>
        <w:t>the repealed regulations</w:t>
      </w:r>
      <w:r>
        <w:rPr>
          <w:b/>
        </w:rPr>
        <w:t>”</w:t>
      </w:r>
      <w:r>
        <w:t xml:space="preserve"> means the regulations repealed under regulation 66.</w:t>
      </w:r>
    </w:p>
    <w:p>
      <w:pPr>
        <w:pStyle w:val="MiscellaneousHeading"/>
        <w:rPr>
          <w:b/>
          <w:bCs/>
        </w:rPr>
      </w:pPr>
      <w:r>
        <w:rPr>
          <w:b/>
          <w:bCs/>
        </w:rPr>
        <w:t>Table</w:t>
      </w:r>
    </w:p>
    <w:tbl>
      <w:tblPr>
        <w:tblW w:w="0" w:type="auto"/>
        <w:tblInd w:w="851" w:type="dxa"/>
        <w:tblLayout w:type="fixed"/>
        <w:tblCellMar>
          <w:left w:w="283" w:type="dxa"/>
          <w:right w:w="283" w:type="dxa"/>
        </w:tblCellMar>
        <w:tblLook w:val="0000" w:firstRow="0" w:lastRow="0" w:firstColumn="0" w:lastColumn="0" w:noHBand="0" w:noVBand="0"/>
      </w:tblPr>
      <w:tblGrid>
        <w:gridCol w:w="3752"/>
        <w:gridCol w:w="2910"/>
      </w:tblGrid>
      <w:tr>
        <w:trPr>
          <w:tblHeader/>
        </w:trPr>
        <w:tc>
          <w:tcPr>
            <w:tcW w:w="3752" w:type="dxa"/>
          </w:tcPr>
          <w:p>
            <w:pPr>
              <w:pStyle w:val="Table"/>
              <w:spacing w:before="120"/>
              <w:ind w:right="728"/>
              <w:jc w:val="center"/>
              <w:rPr>
                <w:b/>
                <w:sz w:val="20"/>
              </w:rPr>
            </w:pPr>
            <w:r>
              <w:rPr>
                <w:b/>
                <w:sz w:val="20"/>
              </w:rPr>
              <w:t>Column 1</w:t>
            </w:r>
          </w:p>
        </w:tc>
        <w:tc>
          <w:tcPr>
            <w:tcW w:w="2910" w:type="dxa"/>
          </w:tcPr>
          <w:p>
            <w:pPr>
              <w:pStyle w:val="Table"/>
              <w:spacing w:before="120"/>
              <w:ind w:right="728"/>
              <w:jc w:val="center"/>
              <w:rPr>
                <w:b/>
                <w:sz w:val="20"/>
              </w:rPr>
            </w:pPr>
            <w:r>
              <w:rPr>
                <w:b/>
                <w:sz w:val="20"/>
              </w:rPr>
              <w:t>Column 2</w:t>
            </w:r>
          </w:p>
        </w:tc>
      </w:tr>
      <w:tr>
        <w:trPr>
          <w:tblHeader/>
        </w:trPr>
        <w:tc>
          <w:tcPr>
            <w:tcW w:w="3752" w:type="dxa"/>
          </w:tcPr>
          <w:p>
            <w:pPr>
              <w:pStyle w:val="Table"/>
              <w:spacing w:before="40" w:after="40"/>
              <w:ind w:right="728"/>
              <w:rPr>
                <w:b/>
                <w:bCs/>
                <w:sz w:val="20"/>
              </w:rPr>
            </w:pPr>
            <w:r>
              <w:rPr>
                <w:b/>
                <w:bCs/>
                <w:sz w:val="20"/>
              </w:rPr>
              <w:t>1947 Licence</w:t>
            </w:r>
          </w:p>
        </w:tc>
        <w:tc>
          <w:tcPr>
            <w:tcW w:w="2910" w:type="dxa"/>
          </w:tcPr>
          <w:p>
            <w:pPr>
              <w:pStyle w:val="Table"/>
              <w:spacing w:before="40" w:after="40"/>
              <w:ind w:right="227"/>
              <w:rPr>
                <w:b/>
                <w:bCs/>
                <w:sz w:val="20"/>
              </w:rPr>
            </w:pPr>
            <w:r>
              <w:rPr>
                <w:b/>
                <w:bCs/>
                <w:sz w:val="20"/>
              </w:rPr>
              <w:t>1991 Licence — Deemed Equivalent</w:t>
            </w:r>
          </w:p>
        </w:tc>
      </w:tr>
      <w:tr>
        <w:tc>
          <w:tcPr>
            <w:tcW w:w="3752" w:type="dxa"/>
          </w:tcPr>
          <w:p>
            <w:pPr>
              <w:pStyle w:val="Table"/>
              <w:spacing w:before="40" w:after="40"/>
              <w:ind w:right="728"/>
              <w:rPr>
                <w:sz w:val="20"/>
              </w:rPr>
            </w:pPr>
            <w:r>
              <w:rPr>
                <w:sz w:val="20"/>
              </w:rPr>
              <w:t>Electrical Worker’s Licence A Grade</w:t>
            </w:r>
          </w:p>
        </w:tc>
        <w:tc>
          <w:tcPr>
            <w:tcW w:w="2910" w:type="dxa"/>
          </w:tcPr>
          <w:p>
            <w:pPr>
              <w:pStyle w:val="Table"/>
              <w:spacing w:before="0" w:after="40"/>
              <w:ind w:right="728"/>
              <w:rPr>
                <w:sz w:val="20"/>
              </w:rPr>
            </w:pPr>
            <w:r>
              <w:rPr>
                <w:sz w:val="20"/>
              </w:rPr>
              <w:t>A Grade</w:t>
            </w:r>
            <w:r>
              <w:rPr>
                <w:sz w:val="20"/>
              </w:rPr>
              <w:br/>
              <w:t>All Electrical Work</w:t>
            </w:r>
          </w:p>
        </w:tc>
      </w:tr>
      <w:tr>
        <w:tc>
          <w:tcPr>
            <w:tcW w:w="3752" w:type="dxa"/>
          </w:tcPr>
          <w:p>
            <w:pPr>
              <w:pStyle w:val="Table"/>
              <w:spacing w:before="40" w:after="40"/>
              <w:ind w:right="248"/>
              <w:rPr>
                <w:sz w:val="20"/>
              </w:rPr>
            </w:pPr>
            <w:r>
              <w:rPr>
                <w:sz w:val="20"/>
              </w:rPr>
              <w:t>Electrical Worker’s Licence endorsed for an Electrical Fitter B Grade</w:t>
            </w:r>
          </w:p>
        </w:tc>
        <w:tc>
          <w:tcPr>
            <w:tcW w:w="2910" w:type="dxa"/>
          </w:tcPr>
          <w:p>
            <w:pPr>
              <w:pStyle w:val="Table"/>
              <w:spacing w:before="40" w:after="40"/>
              <w:ind w:right="728"/>
              <w:rPr>
                <w:sz w:val="20"/>
              </w:rPr>
            </w:pPr>
            <w:r>
              <w:rPr>
                <w:sz w:val="20"/>
              </w:rPr>
              <w:t>A Grade</w:t>
            </w:r>
            <w:r>
              <w:rPr>
                <w:sz w:val="20"/>
              </w:rPr>
              <w:br/>
              <w:t>Electrical Fitter</w:t>
            </w:r>
          </w:p>
        </w:tc>
      </w:tr>
      <w:tr>
        <w:tc>
          <w:tcPr>
            <w:tcW w:w="3752" w:type="dxa"/>
          </w:tcPr>
          <w:p>
            <w:pPr>
              <w:pStyle w:val="Table"/>
              <w:spacing w:before="40" w:after="40"/>
              <w:ind w:right="197"/>
              <w:rPr>
                <w:sz w:val="20"/>
              </w:rPr>
            </w:pPr>
            <w:r>
              <w:rPr>
                <w:sz w:val="20"/>
              </w:rPr>
              <w:t>Electrical Worker’s Licence endorsed for an Electrical Mechanic B Grade</w:t>
            </w:r>
          </w:p>
        </w:tc>
        <w:tc>
          <w:tcPr>
            <w:tcW w:w="2910" w:type="dxa"/>
          </w:tcPr>
          <w:p>
            <w:pPr>
              <w:pStyle w:val="Table"/>
              <w:spacing w:before="40" w:after="40"/>
              <w:ind w:right="728"/>
              <w:rPr>
                <w:sz w:val="20"/>
              </w:rPr>
            </w:pPr>
            <w:r>
              <w:rPr>
                <w:sz w:val="20"/>
              </w:rPr>
              <w:t>A Grade</w:t>
            </w:r>
            <w:r>
              <w:rPr>
                <w:sz w:val="20"/>
              </w:rPr>
              <w:br/>
              <w:t>Electrical Mechanic</w:t>
            </w:r>
          </w:p>
        </w:tc>
      </w:tr>
      <w:tr>
        <w:tc>
          <w:tcPr>
            <w:tcW w:w="3752" w:type="dxa"/>
          </w:tcPr>
          <w:p>
            <w:pPr>
              <w:pStyle w:val="Table"/>
              <w:spacing w:before="0" w:after="40"/>
              <w:ind w:right="728"/>
              <w:rPr>
                <w:sz w:val="20"/>
              </w:rPr>
            </w:pPr>
            <w:r>
              <w:rPr>
                <w:sz w:val="20"/>
              </w:rPr>
              <w:t xml:space="preserve">Electrical Worker’s Licence endorsed for Electrical Fitter Electrical Mechanic </w:t>
            </w:r>
            <w:r>
              <w:rPr>
                <w:sz w:val="20"/>
              </w:rPr>
              <w:br/>
              <w:t>B Grade</w:t>
            </w:r>
          </w:p>
        </w:tc>
        <w:tc>
          <w:tcPr>
            <w:tcW w:w="2910" w:type="dxa"/>
          </w:tcPr>
          <w:p>
            <w:pPr>
              <w:pStyle w:val="Table"/>
              <w:spacing w:before="40" w:after="40"/>
              <w:ind w:right="728"/>
              <w:rPr>
                <w:sz w:val="20"/>
              </w:rPr>
            </w:pPr>
            <w:r>
              <w:rPr>
                <w:sz w:val="20"/>
              </w:rPr>
              <w:t>A Grade</w:t>
            </w:r>
            <w:r>
              <w:rPr>
                <w:sz w:val="20"/>
              </w:rPr>
              <w:br/>
              <w:t>Electrical Fitter</w:t>
            </w:r>
            <w:r>
              <w:rPr>
                <w:sz w:val="20"/>
              </w:rPr>
              <w:br/>
              <w:t>Electrical Mechanic</w:t>
            </w:r>
          </w:p>
        </w:tc>
      </w:tr>
      <w:tr>
        <w:tc>
          <w:tcPr>
            <w:tcW w:w="3752" w:type="dxa"/>
          </w:tcPr>
          <w:p>
            <w:pPr>
              <w:pStyle w:val="Table"/>
              <w:spacing w:before="40" w:after="40"/>
              <w:ind w:right="317"/>
              <w:rPr>
                <w:sz w:val="20"/>
              </w:rPr>
            </w:pPr>
            <w:r>
              <w:rPr>
                <w:sz w:val="20"/>
              </w:rPr>
              <w:t>Special Electrical Worker’s Permit</w:t>
            </w:r>
            <w:r>
              <w:rPr>
                <w:sz w:val="20"/>
              </w:rPr>
              <w:br/>
              <w:t>Electrical Fitter</w:t>
            </w:r>
          </w:p>
        </w:tc>
        <w:tc>
          <w:tcPr>
            <w:tcW w:w="2910" w:type="dxa"/>
          </w:tcPr>
          <w:p>
            <w:pPr>
              <w:pStyle w:val="Table"/>
              <w:spacing w:before="40" w:after="40"/>
              <w:ind w:right="728"/>
              <w:rPr>
                <w:sz w:val="20"/>
              </w:rPr>
            </w:pPr>
            <w:r>
              <w:rPr>
                <w:sz w:val="20"/>
              </w:rPr>
              <w:t>A Grade</w:t>
            </w:r>
            <w:r>
              <w:rPr>
                <w:sz w:val="20"/>
              </w:rPr>
              <w:br/>
              <w:t>Electrical Fitter</w:t>
            </w:r>
          </w:p>
        </w:tc>
      </w:tr>
      <w:tr>
        <w:tc>
          <w:tcPr>
            <w:tcW w:w="3752" w:type="dxa"/>
          </w:tcPr>
          <w:p>
            <w:pPr>
              <w:pStyle w:val="Table"/>
              <w:spacing w:before="40" w:after="40"/>
              <w:ind w:right="317"/>
              <w:rPr>
                <w:sz w:val="20"/>
              </w:rPr>
            </w:pPr>
            <w:r>
              <w:rPr>
                <w:sz w:val="20"/>
              </w:rPr>
              <w:t>Special Electrical Worker’s Permit</w:t>
            </w:r>
            <w:r>
              <w:rPr>
                <w:sz w:val="20"/>
              </w:rPr>
              <w:br/>
              <w:t>Electrical Mechanic</w:t>
            </w:r>
          </w:p>
        </w:tc>
        <w:tc>
          <w:tcPr>
            <w:tcW w:w="2910" w:type="dxa"/>
          </w:tcPr>
          <w:p>
            <w:pPr>
              <w:pStyle w:val="Table"/>
              <w:spacing w:before="40" w:after="40"/>
              <w:ind w:right="728"/>
              <w:rPr>
                <w:sz w:val="20"/>
              </w:rPr>
            </w:pPr>
            <w:r>
              <w:rPr>
                <w:sz w:val="20"/>
              </w:rPr>
              <w:t>A Grade</w:t>
            </w:r>
            <w:r>
              <w:rPr>
                <w:sz w:val="20"/>
              </w:rPr>
              <w:br/>
              <w:t>Electrical Mechanic</w:t>
            </w:r>
          </w:p>
        </w:tc>
      </w:tr>
      <w:tr>
        <w:tc>
          <w:tcPr>
            <w:tcW w:w="3752" w:type="dxa"/>
          </w:tcPr>
          <w:p>
            <w:pPr>
              <w:pStyle w:val="Table"/>
              <w:spacing w:before="40" w:after="40"/>
              <w:ind w:right="128"/>
              <w:rPr>
                <w:sz w:val="20"/>
              </w:rPr>
            </w:pPr>
            <w:r>
              <w:rPr>
                <w:sz w:val="20"/>
              </w:rPr>
              <w:t>Special Electrical Worker’s Permit</w:t>
            </w:r>
            <w:r>
              <w:rPr>
                <w:sz w:val="20"/>
              </w:rPr>
              <w:br/>
              <w:t>Electrical Fitter</w:t>
            </w:r>
            <w:r>
              <w:rPr>
                <w:sz w:val="20"/>
              </w:rPr>
              <w:br/>
              <w:t>Electrical Mechanic</w:t>
            </w:r>
          </w:p>
        </w:tc>
        <w:tc>
          <w:tcPr>
            <w:tcW w:w="2910" w:type="dxa"/>
          </w:tcPr>
          <w:p>
            <w:pPr>
              <w:pStyle w:val="Table"/>
              <w:spacing w:before="40" w:after="40"/>
              <w:ind w:right="728"/>
              <w:rPr>
                <w:sz w:val="20"/>
              </w:rPr>
            </w:pPr>
            <w:r>
              <w:rPr>
                <w:sz w:val="20"/>
              </w:rPr>
              <w:t>A Grade</w:t>
            </w:r>
            <w:r>
              <w:rPr>
                <w:sz w:val="20"/>
              </w:rPr>
              <w:br/>
              <w:t>Electrical Fitter</w:t>
            </w:r>
            <w:r>
              <w:rPr>
                <w:sz w:val="20"/>
              </w:rPr>
              <w:br/>
              <w:t>Electrical Mechanic</w:t>
            </w:r>
          </w:p>
        </w:tc>
      </w:tr>
      <w:tr>
        <w:tc>
          <w:tcPr>
            <w:tcW w:w="3752" w:type="dxa"/>
          </w:tcPr>
          <w:p>
            <w:pPr>
              <w:pStyle w:val="Table"/>
              <w:spacing w:before="40" w:after="40"/>
              <w:rPr>
                <w:sz w:val="20"/>
              </w:rPr>
            </w:pPr>
            <w:r>
              <w:rPr>
                <w:sz w:val="20"/>
              </w:rPr>
              <w:t>Electrical Worker’s Licence endorsed for Fitter Employee</w:t>
            </w:r>
            <w:r>
              <w:rPr>
                <w:sz w:val="20"/>
              </w:rPr>
              <w:br/>
              <w:t>B Grade</w:t>
            </w:r>
          </w:p>
        </w:tc>
        <w:tc>
          <w:tcPr>
            <w:tcW w:w="2910" w:type="dxa"/>
          </w:tcPr>
          <w:p>
            <w:pPr>
              <w:pStyle w:val="Table"/>
              <w:spacing w:before="40" w:after="40"/>
              <w:ind w:right="728"/>
              <w:rPr>
                <w:sz w:val="20"/>
              </w:rPr>
            </w:pPr>
            <w:r>
              <w:rPr>
                <w:sz w:val="20"/>
              </w:rPr>
              <w:t>B Grade</w:t>
            </w:r>
            <w:r>
              <w:rPr>
                <w:sz w:val="20"/>
              </w:rPr>
              <w:br/>
              <w:t>Electrical Fitter</w:t>
            </w:r>
          </w:p>
        </w:tc>
      </w:tr>
      <w:tr>
        <w:tc>
          <w:tcPr>
            <w:tcW w:w="3752" w:type="dxa"/>
          </w:tcPr>
          <w:p>
            <w:pPr>
              <w:pStyle w:val="Table"/>
              <w:spacing w:before="40" w:after="40"/>
              <w:ind w:right="128"/>
              <w:rPr>
                <w:sz w:val="20"/>
              </w:rPr>
            </w:pPr>
            <w:r>
              <w:rPr>
                <w:sz w:val="20"/>
              </w:rPr>
              <w:t>Electrical Worker’s Licence endorsed for Mechanic Employee (Installer)</w:t>
            </w:r>
            <w:r>
              <w:rPr>
                <w:sz w:val="20"/>
              </w:rPr>
              <w:br/>
              <w:t>B Grade</w:t>
            </w:r>
          </w:p>
        </w:tc>
        <w:tc>
          <w:tcPr>
            <w:tcW w:w="2910" w:type="dxa"/>
          </w:tcPr>
          <w:p>
            <w:pPr>
              <w:pStyle w:val="Table"/>
              <w:spacing w:before="40" w:after="40"/>
              <w:ind w:right="728"/>
              <w:rPr>
                <w:sz w:val="20"/>
              </w:rPr>
            </w:pPr>
            <w:r>
              <w:rPr>
                <w:sz w:val="20"/>
              </w:rPr>
              <w:t>B Grade</w:t>
            </w:r>
            <w:r>
              <w:rPr>
                <w:sz w:val="20"/>
              </w:rPr>
              <w:br/>
              <w:t>Electrical Mechanic</w:t>
            </w:r>
          </w:p>
        </w:tc>
      </w:tr>
      <w:tr>
        <w:tc>
          <w:tcPr>
            <w:tcW w:w="3752" w:type="dxa"/>
          </w:tcPr>
          <w:p>
            <w:pPr>
              <w:pStyle w:val="Table"/>
              <w:spacing w:before="40" w:after="40"/>
              <w:ind w:right="128"/>
              <w:rPr>
                <w:sz w:val="20"/>
              </w:rPr>
            </w:pPr>
            <w:r>
              <w:rPr>
                <w:sz w:val="20"/>
              </w:rPr>
              <w:t>Electrical Worker’s Licence</w:t>
            </w:r>
            <w:r>
              <w:rPr>
                <w:sz w:val="20"/>
              </w:rPr>
              <w:br/>
              <w:t>C Grade</w:t>
            </w:r>
          </w:p>
        </w:tc>
        <w:tc>
          <w:tcPr>
            <w:tcW w:w="2910" w:type="dxa"/>
          </w:tcPr>
          <w:p>
            <w:pPr>
              <w:pStyle w:val="Table"/>
              <w:spacing w:before="40" w:after="40"/>
              <w:ind w:right="728"/>
              <w:rPr>
                <w:sz w:val="20"/>
              </w:rPr>
            </w:pPr>
            <w:r>
              <w:rPr>
                <w:sz w:val="20"/>
              </w:rPr>
              <w:t>C Grade</w:t>
            </w:r>
          </w:p>
        </w:tc>
      </w:tr>
      <w:tr>
        <w:tc>
          <w:tcPr>
            <w:tcW w:w="3752" w:type="dxa"/>
          </w:tcPr>
          <w:p>
            <w:pPr>
              <w:pStyle w:val="Table"/>
              <w:spacing w:before="40" w:after="40"/>
              <w:ind w:right="128"/>
              <w:rPr>
                <w:sz w:val="20"/>
              </w:rPr>
            </w:pPr>
            <w:r>
              <w:rPr>
                <w:sz w:val="20"/>
              </w:rPr>
              <w:t>Restricted R</w:t>
            </w:r>
          </w:p>
        </w:tc>
        <w:tc>
          <w:tcPr>
            <w:tcW w:w="2910" w:type="dxa"/>
          </w:tcPr>
          <w:p>
            <w:pPr>
              <w:pStyle w:val="Table"/>
              <w:spacing w:before="40" w:after="40"/>
              <w:ind w:right="728"/>
              <w:rPr>
                <w:sz w:val="20"/>
              </w:rPr>
            </w:pPr>
            <w:r>
              <w:rPr>
                <w:sz w:val="20"/>
              </w:rPr>
              <w:t>Restricted</w:t>
            </w:r>
          </w:p>
        </w:tc>
      </w:tr>
      <w:tr>
        <w:tc>
          <w:tcPr>
            <w:tcW w:w="3752" w:type="dxa"/>
          </w:tcPr>
          <w:p>
            <w:pPr>
              <w:pStyle w:val="Table"/>
              <w:spacing w:before="40" w:after="40"/>
              <w:ind w:right="128"/>
              <w:rPr>
                <w:sz w:val="20"/>
              </w:rPr>
            </w:pPr>
            <w:r>
              <w:rPr>
                <w:sz w:val="20"/>
              </w:rPr>
              <w:t>Restricted (Limited L)</w:t>
            </w:r>
          </w:p>
        </w:tc>
        <w:tc>
          <w:tcPr>
            <w:tcW w:w="2910" w:type="dxa"/>
          </w:tcPr>
          <w:p>
            <w:pPr>
              <w:pStyle w:val="Table"/>
              <w:spacing w:before="40" w:after="40"/>
              <w:ind w:right="728"/>
              <w:rPr>
                <w:sz w:val="20"/>
              </w:rPr>
            </w:pPr>
            <w:r>
              <w:rPr>
                <w:sz w:val="20"/>
              </w:rPr>
              <w:t>Limited</w:t>
            </w:r>
          </w:p>
        </w:tc>
      </w:tr>
      <w:tr>
        <w:tc>
          <w:tcPr>
            <w:tcW w:w="3752" w:type="dxa"/>
          </w:tcPr>
          <w:p>
            <w:pPr>
              <w:pStyle w:val="Table"/>
              <w:spacing w:before="40" w:after="40"/>
              <w:ind w:right="128"/>
              <w:rPr>
                <w:sz w:val="20"/>
              </w:rPr>
            </w:pPr>
            <w:r>
              <w:rPr>
                <w:sz w:val="20"/>
              </w:rPr>
              <w:t>Electrical Worker’s Permit</w:t>
            </w:r>
            <w:r>
              <w:rPr>
                <w:sz w:val="20"/>
              </w:rPr>
              <w:br/>
              <w:t>Determined according to</w:t>
            </w:r>
            <w:r>
              <w:rPr>
                <w:sz w:val="20"/>
              </w:rPr>
              <w:br/>
              <w:t>the condition as stated</w:t>
            </w:r>
          </w:p>
        </w:tc>
        <w:tc>
          <w:tcPr>
            <w:tcW w:w="2910" w:type="dxa"/>
          </w:tcPr>
          <w:p>
            <w:pPr>
              <w:pStyle w:val="Table"/>
              <w:spacing w:before="40" w:after="40"/>
              <w:ind w:right="728"/>
              <w:rPr>
                <w:sz w:val="20"/>
              </w:rPr>
            </w:pPr>
            <w:r>
              <w:rPr>
                <w:sz w:val="20"/>
              </w:rPr>
              <w:t>Permit</w:t>
            </w:r>
            <w:r>
              <w:rPr>
                <w:sz w:val="20"/>
              </w:rPr>
              <w:br/>
              <w:t>Subject to same</w:t>
            </w:r>
            <w:r>
              <w:rPr>
                <w:sz w:val="20"/>
              </w:rPr>
              <w:br/>
              <w:t>limitations and</w:t>
            </w:r>
            <w:r>
              <w:rPr>
                <w:sz w:val="20"/>
              </w:rPr>
              <w:br/>
              <w:t>expiry date</w:t>
            </w:r>
          </w:p>
        </w:tc>
      </w:tr>
      <w:tr>
        <w:tc>
          <w:tcPr>
            <w:tcW w:w="3752" w:type="dxa"/>
          </w:tcPr>
          <w:p>
            <w:pPr>
              <w:pStyle w:val="Table"/>
              <w:spacing w:before="40" w:after="40"/>
              <w:ind w:right="128"/>
              <w:rPr>
                <w:sz w:val="20"/>
              </w:rPr>
            </w:pPr>
            <w:r>
              <w:rPr>
                <w:sz w:val="20"/>
              </w:rPr>
              <w:t>Electrical Contractor’s Licence</w:t>
            </w:r>
          </w:p>
        </w:tc>
        <w:tc>
          <w:tcPr>
            <w:tcW w:w="2910" w:type="dxa"/>
          </w:tcPr>
          <w:p>
            <w:pPr>
              <w:pStyle w:val="Table"/>
              <w:spacing w:before="40" w:after="40"/>
              <w:ind w:right="728"/>
              <w:rPr>
                <w:sz w:val="20"/>
              </w:rPr>
            </w:pPr>
            <w:r>
              <w:rPr>
                <w:sz w:val="20"/>
              </w:rPr>
              <w:t>Electrical Contractor’s Licence</w:t>
            </w:r>
          </w:p>
        </w:tc>
      </w:tr>
    </w:tbl>
    <w:p>
      <w:pPr>
        <w:pStyle w:val="Footnotesection"/>
      </w:pPr>
      <w:r>
        <w:tab/>
        <w:t xml:space="preserve">[Regulation 67 corrigendum in Gazette 1 Nov 1991 p. 5665; amended in Gazette 6 Sep 1996 p. 4419.]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52" w:name="_Toc92790682"/>
      <w:bookmarkStart w:id="453" w:name="_Toc92965311"/>
      <w:bookmarkStart w:id="454" w:name="_Toc112151135"/>
      <w:bookmarkStart w:id="455" w:name="_Toc133305814"/>
      <w:bookmarkStart w:id="456" w:name="_Toc135028326"/>
      <w:bookmarkStart w:id="457" w:name="_Toc135121879"/>
      <w:bookmarkStart w:id="458" w:name="_Toc136661064"/>
      <w:bookmarkStart w:id="459" w:name="_Toc136661255"/>
      <w:bookmarkStart w:id="460" w:name="_Toc136662565"/>
      <w:bookmarkStart w:id="461" w:name="_Toc139258322"/>
      <w:bookmarkStart w:id="462" w:name="_Toc170722119"/>
      <w:bookmarkStart w:id="463" w:name="_Toc186871658"/>
      <w:r>
        <w:rPr>
          <w:rStyle w:val="CharSchNo"/>
        </w:rPr>
        <w:t>Schedule 1</w:t>
      </w:r>
      <w:bookmarkEnd w:id="452"/>
      <w:bookmarkEnd w:id="453"/>
      <w:bookmarkEnd w:id="454"/>
      <w:bookmarkEnd w:id="455"/>
      <w:bookmarkEnd w:id="456"/>
      <w:bookmarkEnd w:id="457"/>
      <w:bookmarkEnd w:id="458"/>
      <w:bookmarkEnd w:id="459"/>
      <w:bookmarkEnd w:id="460"/>
      <w:bookmarkEnd w:id="461"/>
      <w:bookmarkEnd w:id="462"/>
      <w:bookmarkEnd w:id="463"/>
      <w:r>
        <w:t xml:space="preserve"> </w:t>
      </w:r>
    </w:p>
    <w:p>
      <w:pPr>
        <w:pStyle w:val="yShoulderClause"/>
        <w:rPr>
          <w:snapToGrid w:val="0"/>
        </w:rPr>
      </w:pPr>
      <w:r>
        <w:rPr>
          <w:snapToGrid w:val="0"/>
        </w:rPr>
        <w:t>[Reg. 64]</w:t>
      </w:r>
    </w:p>
    <w:p>
      <w:pPr>
        <w:pStyle w:val="yHeading2"/>
      </w:pPr>
      <w:bookmarkStart w:id="464" w:name="_Toc136661256"/>
      <w:bookmarkStart w:id="465" w:name="_Toc136662566"/>
      <w:bookmarkStart w:id="466" w:name="_Toc139258323"/>
      <w:bookmarkStart w:id="467" w:name="_Toc170722120"/>
      <w:bookmarkStart w:id="468" w:name="_Toc186871659"/>
      <w:r>
        <w:rPr>
          <w:rStyle w:val="CharSchText"/>
        </w:rPr>
        <w:t>Fees</w:t>
      </w:r>
      <w:bookmarkEnd w:id="464"/>
      <w:bookmarkEnd w:id="465"/>
      <w:bookmarkEnd w:id="466"/>
      <w:bookmarkEnd w:id="467"/>
      <w:bookmarkEnd w:id="468"/>
    </w:p>
    <w:tbl>
      <w:tblPr>
        <w:tblW w:w="0" w:type="auto"/>
        <w:tblInd w:w="142" w:type="dxa"/>
        <w:tblLayout w:type="fixed"/>
        <w:tblCellMar>
          <w:left w:w="142" w:type="dxa"/>
          <w:right w:w="142" w:type="dxa"/>
        </w:tblCellMar>
        <w:tblLook w:val="0000" w:firstRow="0" w:lastRow="0" w:firstColumn="0" w:lastColumn="0" w:noHBand="0" w:noVBand="0"/>
      </w:tblPr>
      <w:tblGrid>
        <w:gridCol w:w="5669"/>
        <w:gridCol w:w="1418"/>
      </w:tblGrid>
      <w:tr>
        <w:tc>
          <w:tcPr>
            <w:tcW w:w="5669" w:type="dxa"/>
          </w:tcPr>
          <w:p>
            <w:pPr>
              <w:pStyle w:val="yTable"/>
              <w:spacing w:before="0"/>
            </w:pPr>
          </w:p>
        </w:tc>
        <w:tc>
          <w:tcPr>
            <w:tcW w:w="1418" w:type="dxa"/>
          </w:tcPr>
          <w:p>
            <w:pPr>
              <w:pStyle w:val="yTable"/>
              <w:spacing w:before="0"/>
              <w:jc w:val="center"/>
            </w:pPr>
            <w:r>
              <w:t>$</w:t>
            </w:r>
          </w:p>
        </w:tc>
      </w:tr>
      <w:tr>
        <w:tc>
          <w:tcPr>
            <w:tcW w:w="5669" w:type="dxa"/>
          </w:tcPr>
          <w:p>
            <w:pPr>
              <w:pStyle w:val="yTable"/>
              <w:spacing w:before="0"/>
            </w:pPr>
            <w:r>
              <w:t>1.</w:t>
            </w:r>
            <w:r>
              <w:tab/>
              <w:t>Licences and permits under Part 3 — </w:t>
            </w:r>
          </w:p>
        </w:tc>
        <w:tc>
          <w:tcPr>
            <w:tcW w:w="1418" w:type="dxa"/>
          </w:tcPr>
          <w:p>
            <w:pPr>
              <w:pStyle w:val="yTable"/>
              <w:spacing w:before="0"/>
            </w:pPr>
          </w:p>
        </w:tc>
      </w:tr>
      <w:tr>
        <w:tc>
          <w:tcPr>
            <w:tcW w:w="5669" w:type="dxa"/>
          </w:tcPr>
          <w:p>
            <w:pPr>
              <w:pStyle w:val="yTable"/>
              <w:tabs>
                <w:tab w:val="left" w:pos="709"/>
              </w:tabs>
              <w:spacing w:before="0"/>
              <w:ind w:left="1418" w:hanging="1418"/>
            </w:pPr>
            <w:r>
              <w:tab/>
              <w:t>(a)</w:t>
            </w:r>
            <w:r>
              <w:tab/>
              <w:t>Application for licence or permit ..................</w:t>
            </w:r>
          </w:p>
        </w:tc>
        <w:tc>
          <w:tcPr>
            <w:tcW w:w="1418" w:type="dxa"/>
          </w:tcPr>
          <w:p>
            <w:pPr>
              <w:pStyle w:val="yTable"/>
              <w:spacing w:before="0"/>
              <w:jc w:val="center"/>
            </w:pPr>
            <w:r>
              <w:t>36</w:t>
            </w:r>
          </w:p>
        </w:tc>
      </w:tr>
      <w:tr>
        <w:tc>
          <w:tcPr>
            <w:tcW w:w="5669" w:type="dxa"/>
          </w:tcPr>
          <w:p>
            <w:pPr>
              <w:pStyle w:val="yTable"/>
              <w:tabs>
                <w:tab w:val="left" w:pos="709"/>
              </w:tabs>
              <w:spacing w:before="0"/>
              <w:ind w:left="1418" w:hanging="1418"/>
            </w:pPr>
            <w:r>
              <w:tab/>
              <w:t>(b)</w:t>
            </w:r>
            <w:r>
              <w:tab/>
              <w:t xml:space="preserve">Registration of licence holder or permit or </w:t>
            </w:r>
            <w:r>
              <w:tab/>
              <w:t>renewal of registration (for each year) .........</w:t>
            </w:r>
          </w:p>
        </w:tc>
        <w:tc>
          <w:tcPr>
            <w:tcW w:w="1418" w:type="dxa"/>
          </w:tcPr>
          <w:p>
            <w:pPr>
              <w:pStyle w:val="yTable"/>
              <w:spacing w:before="0"/>
              <w:jc w:val="center"/>
            </w:pPr>
            <w:r>
              <w:br/>
              <w:t>63</w:t>
            </w:r>
          </w:p>
        </w:tc>
      </w:tr>
      <w:tr>
        <w:tc>
          <w:tcPr>
            <w:tcW w:w="5669" w:type="dxa"/>
          </w:tcPr>
          <w:p>
            <w:pPr>
              <w:pStyle w:val="yTable"/>
              <w:tabs>
                <w:tab w:val="left" w:pos="709"/>
              </w:tabs>
              <w:spacing w:before="0"/>
              <w:ind w:left="1418" w:hanging="1418"/>
            </w:pPr>
            <w:r>
              <w:tab/>
              <w:t>(c)</w:t>
            </w:r>
            <w:r>
              <w:tab/>
              <w:t>Copy of licence, permit or certificate of registration ....................................................</w:t>
            </w:r>
          </w:p>
        </w:tc>
        <w:tc>
          <w:tcPr>
            <w:tcW w:w="1418" w:type="dxa"/>
          </w:tcPr>
          <w:p>
            <w:pPr>
              <w:pStyle w:val="yTable"/>
              <w:spacing w:before="0"/>
              <w:jc w:val="center"/>
            </w:pPr>
            <w:r>
              <w:br/>
              <w:t>10</w:t>
            </w:r>
          </w:p>
        </w:tc>
      </w:tr>
      <w:tr>
        <w:tc>
          <w:tcPr>
            <w:tcW w:w="5669" w:type="dxa"/>
          </w:tcPr>
          <w:p>
            <w:pPr>
              <w:pStyle w:val="yTable"/>
              <w:tabs>
                <w:tab w:val="left" w:pos="709"/>
              </w:tabs>
              <w:spacing w:before="0"/>
              <w:ind w:left="1418" w:hanging="1418"/>
            </w:pPr>
            <w:r>
              <w:tab/>
              <w:t>(d)</w:t>
            </w:r>
            <w:r>
              <w:tab/>
              <w:t>Application for restoration of name to register (failure to renew) .............................</w:t>
            </w:r>
          </w:p>
        </w:tc>
        <w:tc>
          <w:tcPr>
            <w:tcW w:w="1418" w:type="dxa"/>
          </w:tcPr>
          <w:p>
            <w:pPr>
              <w:pStyle w:val="yTable"/>
              <w:spacing w:before="0"/>
              <w:jc w:val="center"/>
            </w:pPr>
            <w:r>
              <w:br/>
              <w:t>36</w:t>
            </w:r>
          </w:p>
        </w:tc>
      </w:tr>
      <w:tr>
        <w:tc>
          <w:tcPr>
            <w:tcW w:w="5669" w:type="dxa"/>
          </w:tcPr>
          <w:p>
            <w:pPr>
              <w:pStyle w:val="yTable"/>
            </w:pPr>
            <w:r>
              <w:t>2.</w:t>
            </w:r>
            <w:r>
              <w:tab/>
              <w:t>Licences under Part 4 — </w:t>
            </w:r>
          </w:p>
        </w:tc>
        <w:tc>
          <w:tcPr>
            <w:tcW w:w="1418" w:type="dxa"/>
          </w:tcPr>
          <w:p>
            <w:pPr>
              <w:pStyle w:val="yTable"/>
            </w:pPr>
          </w:p>
        </w:tc>
      </w:tr>
      <w:tr>
        <w:tc>
          <w:tcPr>
            <w:tcW w:w="5669" w:type="dxa"/>
          </w:tcPr>
          <w:p>
            <w:pPr>
              <w:pStyle w:val="yTable"/>
              <w:tabs>
                <w:tab w:val="left" w:pos="709"/>
              </w:tabs>
              <w:spacing w:before="0"/>
              <w:ind w:left="1418" w:hanging="1418"/>
            </w:pPr>
            <w:r>
              <w:tab/>
              <w:t>(a)</w:t>
            </w:r>
            <w:r>
              <w:tab/>
              <w:t>Application for licence .................................</w:t>
            </w:r>
          </w:p>
        </w:tc>
        <w:tc>
          <w:tcPr>
            <w:tcW w:w="1418" w:type="dxa"/>
          </w:tcPr>
          <w:p>
            <w:pPr>
              <w:pStyle w:val="yTable"/>
              <w:spacing w:before="0"/>
              <w:jc w:val="center"/>
            </w:pPr>
            <w:r>
              <w:t>70</w:t>
            </w:r>
          </w:p>
        </w:tc>
      </w:tr>
      <w:tr>
        <w:tc>
          <w:tcPr>
            <w:tcW w:w="5669" w:type="dxa"/>
          </w:tcPr>
          <w:p>
            <w:pPr>
              <w:pStyle w:val="yTable"/>
              <w:tabs>
                <w:tab w:val="left" w:pos="709"/>
              </w:tabs>
              <w:spacing w:before="0"/>
              <w:ind w:left="1418" w:hanging="1418"/>
            </w:pPr>
            <w:r>
              <w:tab/>
              <w:t>(b)</w:t>
            </w:r>
            <w:r>
              <w:tab/>
              <w:t>Registration or renewal of registration of a contractor ......................................................</w:t>
            </w:r>
          </w:p>
        </w:tc>
        <w:tc>
          <w:tcPr>
            <w:tcW w:w="1418" w:type="dxa"/>
          </w:tcPr>
          <w:p>
            <w:pPr>
              <w:pStyle w:val="yTable"/>
              <w:spacing w:before="0"/>
              <w:jc w:val="center"/>
            </w:pPr>
            <w:r>
              <w:br/>
              <w:t>370</w:t>
            </w:r>
          </w:p>
        </w:tc>
      </w:tr>
      <w:tr>
        <w:tc>
          <w:tcPr>
            <w:tcW w:w="5669" w:type="dxa"/>
          </w:tcPr>
          <w:p>
            <w:pPr>
              <w:pStyle w:val="yTable"/>
              <w:tabs>
                <w:tab w:val="left" w:pos="709"/>
              </w:tabs>
              <w:spacing w:before="0"/>
              <w:ind w:left="1418" w:hanging="1418"/>
            </w:pPr>
            <w:r>
              <w:tab/>
              <w:t>(c)</w:t>
            </w:r>
            <w:r>
              <w:tab/>
              <w:t>Registration or renewal of registration of in</w:t>
            </w:r>
            <w:r>
              <w:noBreakHyphen/>
              <w:t>house electrical installing work ...............</w:t>
            </w:r>
          </w:p>
        </w:tc>
        <w:tc>
          <w:tcPr>
            <w:tcW w:w="1418" w:type="dxa"/>
          </w:tcPr>
          <w:p>
            <w:pPr>
              <w:pStyle w:val="yTable"/>
              <w:spacing w:before="0"/>
              <w:jc w:val="center"/>
            </w:pPr>
            <w:r>
              <w:br/>
              <w:t>185</w:t>
            </w:r>
          </w:p>
        </w:tc>
      </w:tr>
      <w:tr>
        <w:tc>
          <w:tcPr>
            <w:tcW w:w="5669" w:type="dxa"/>
          </w:tcPr>
          <w:p>
            <w:pPr>
              <w:pStyle w:val="yTable"/>
              <w:tabs>
                <w:tab w:val="left" w:pos="709"/>
              </w:tabs>
              <w:spacing w:before="0"/>
              <w:ind w:left="1418" w:hanging="1418"/>
            </w:pPr>
            <w:r>
              <w:tab/>
              <w:t>(d)</w:t>
            </w:r>
            <w:r>
              <w:tab/>
              <w:t xml:space="preserve">Copy of licence or certificate of registration </w:t>
            </w:r>
          </w:p>
        </w:tc>
        <w:tc>
          <w:tcPr>
            <w:tcW w:w="1418" w:type="dxa"/>
          </w:tcPr>
          <w:p>
            <w:pPr>
              <w:pStyle w:val="yTable"/>
              <w:spacing w:before="0"/>
              <w:jc w:val="center"/>
            </w:pPr>
            <w:r>
              <w:t>30</w:t>
            </w:r>
          </w:p>
        </w:tc>
      </w:tr>
      <w:tr>
        <w:tc>
          <w:tcPr>
            <w:tcW w:w="5669" w:type="dxa"/>
          </w:tcPr>
          <w:p>
            <w:pPr>
              <w:pStyle w:val="yTable"/>
              <w:tabs>
                <w:tab w:val="left" w:pos="709"/>
              </w:tabs>
              <w:spacing w:before="0"/>
              <w:ind w:left="1418" w:hanging="1418"/>
            </w:pPr>
            <w:r>
              <w:tab/>
              <w:t>(e)</w:t>
            </w:r>
            <w:r>
              <w:tab/>
              <w:t>Extract of register .........................................</w:t>
            </w:r>
          </w:p>
        </w:tc>
        <w:tc>
          <w:tcPr>
            <w:tcW w:w="1418" w:type="dxa"/>
          </w:tcPr>
          <w:p>
            <w:pPr>
              <w:pStyle w:val="yTable"/>
              <w:spacing w:before="0"/>
              <w:jc w:val="center"/>
            </w:pPr>
            <w:r>
              <w:t>30</w:t>
            </w:r>
          </w:p>
        </w:tc>
      </w:tr>
      <w:tr>
        <w:tc>
          <w:tcPr>
            <w:tcW w:w="5669" w:type="dxa"/>
          </w:tcPr>
          <w:p>
            <w:pPr>
              <w:pStyle w:val="yTable"/>
              <w:tabs>
                <w:tab w:val="left" w:pos="709"/>
              </w:tabs>
              <w:spacing w:before="0"/>
              <w:ind w:left="1418" w:hanging="1418"/>
            </w:pPr>
            <w:r>
              <w:tab/>
              <w:t>(f)</w:t>
            </w:r>
            <w:r>
              <w:tab/>
              <w:t>Copy of register (if available) .......................</w:t>
            </w:r>
          </w:p>
        </w:tc>
        <w:tc>
          <w:tcPr>
            <w:tcW w:w="1418" w:type="dxa"/>
          </w:tcPr>
          <w:p>
            <w:pPr>
              <w:pStyle w:val="yTable"/>
              <w:spacing w:before="0"/>
              <w:jc w:val="center"/>
            </w:pPr>
            <w:r>
              <w:t>62</w:t>
            </w:r>
          </w:p>
        </w:tc>
      </w:tr>
      <w:tr>
        <w:tc>
          <w:tcPr>
            <w:tcW w:w="5669" w:type="dxa"/>
          </w:tcPr>
          <w:p>
            <w:pPr>
              <w:pStyle w:val="yTable"/>
              <w:tabs>
                <w:tab w:val="left" w:pos="709"/>
              </w:tabs>
              <w:spacing w:before="0"/>
              <w:ind w:left="1418" w:hanging="1418"/>
            </w:pPr>
            <w:r>
              <w:tab/>
              <w:t>(g)</w:t>
            </w:r>
            <w:r>
              <w:tab/>
              <w:t>Application for restoration of name to register (failure to renew) .............................</w:t>
            </w:r>
          </w:p>
        </w:tc>
        <w:tc>
          <w:tcPr>
            <w:tcW w:w="1418" w:type="dxa"/>
          </w:tcPr>
          <w:p>
            <w:pPr>
              <w:pStyle w:val="yTable"/>
              <w:spacing w:before="0"/>
              <w:jc w:val="center"/>
            </w:pPr>
            <w:r>
              <w:br/>
              <w:t>36</w:t>
            </w:r>
          </w:p>
        </w:tc>
      </w:tr>
      <w:tr>
        <w:tc>
          <w:tcPr>
            <w:tcW w:w="5669" w:type="dxa"/>
          </w:tcPr>
          <w:p>
            <w:pPr>
              <w:pStyle w:val="yTable"/>
              <w:tabs>
                <w:tab w:val="left" w:pos="0"/>
              </w:tabs>
            </w:pPr>
            <w:r>
              <w:t>3.</w:t>
            </w:r>
            <w:r>
              <w:tab/>
              <w:t>Further inspection ......................................................</w:t>
            </w:r>
          </w:p>
        </w:tc>
        <w:tc>
          <w:tcPr>
            <w:tcW w:w="1418" w:type="dxa"/>
          </w:tcPr>
          <w:p>
            <w:pPr>
              <w:pStyle w:val="yTable"/>
              <w:jc w:val="center"/>
            </w:pPr>
            <w:r>
              <w:t>100</w:t>
            </w:r>
          </w:p>
        </w:tc>
      </w:tr>
    </w:tbl>
    <w:p>
      <w:pPr>
        <w:pStyle w:val="yFootnotesection"/>
      </w:pPr>
      <w:r>
        <w:tab/>
        <w:t>[Schedule 1 inserted in Gazette 27 May 1994 p. 2243</w:t>
      </w:r>
      <w:r>
        <w:noBreakHyphen/>
        <w:t>4; amended in Gazette 24 Apr 1998 p. 2148; 28 May 1999 p. 2147; 2 May 2000 p. 2115</w:t>
      </w:r>
      <w:r>
        <w:noBreakHyphen/>
        <w:t>16; 23 Nov 2001 p. 6030; 31 Jan 2003 p. 279; 13 Jul 2004 p. 2822; 19 Aug 2005 p. 3866</w:t>
      </w:r>
      <w:r>
        <w:noBreakHyphen/>
        <w:t xml:space="preserve">7; 27 Jun 2006 p. 2283-4; 15 Jun 2007 p. 2783-4.] </w:t>
      </w:r>
    </w:p>
    <w:p>
      <w:pPr>
        <w:pStyle w:val="yEdnoteschedule"/>
      </w:pPr>
      <w:r>
        <w:t xml:space="preserve">[Schedule 2 repealed in Gazette 6 Sep 1996 p. 4419.]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2"/>
      </w:pPr>
      <w:bookmarkStart w:id="469" w:name="_Toc54672639"/>
      <w:bookmarkStart w:id="470" w:name="_Toc77479493"/>
      <w:bookmarkStart w:id="471" w:name="_Toc92790683"/>
      <w:bookmarkStart w:id="472" w:name="_Toc92790817"/>
      <w:bookmarkStart w:id="473" w:name="_Toc92965312"/>
      <w:bookmarkStart w:id="474" w:name="_Toc92965416"/>
      <w:bookmarkStart w:id="475" w:name="_Toc101593861"/>
      <w:bookmarkStart w:id="476" w:name="_Toc112133237"/>
      <w:bookmarkStart w:id="477" w:name="_Toc112151136"/>
      <w:bookmarkStart w:id="478" w:name="_Toc133305815"/>
      <w:bookmarkStart w:id="479" w:name="_Toc135028327"/>
      <w:bookmarkStart w:id="480" w:name="_Toc135121880"/>
      <w:bookmarkStart w:id="481" w:name="_Toc136661065"/>
      <w:bookmarkStart w:id="482" w:name="_Toc136661257"/>
      <w:bookmarkStart w:id="483" w:name="_Toc136662567"/>
      <w:bookmarkStart w:id="484" w:name="_Toc139258324"/>
      <w:bookmarkStart w:id="485" w:name="_Toc170722121"/>
      <w:bookmarkStart w:id="486" w:name="_Toc186871660"/>
      <w:r>
        <w:t>Notes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87" w:name="_Toc186871661"/>
      <w:r>
        <w:rPr>
          <w:snapToGrid w:val="0"/>
        </w:rPr>
        <w:t>Compilation table</w:t>
      </w:r>
      <w:bookmarkEnd w:id="4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c>
          <w:tcPr>
            <w:tcW w:w="3118" w:type="dxa"/>
          </w:tcPr>
          <w:p>
            <w:pPr>
              <w:pStyle w:val="nTable"/>
              <w:keepNext/>
              <w:keepLines/>
              <w:spacing w:after="40"/>
              <w:rPr>
                <w:rFonts w:ascii="Times" w:hAnsi="Times"/>
                <w:iCs/>
                <w:sz w:val="19"/>
              </w:rPr>
            </w:pPr>
            <w:r>
              <w:rPr>
                <w:i/>
                <w:sz w:val="19"/>
              </w:rPr>
              <w:t>Electricity (Licensing) Amendment Regulations (No. 2) 2003</w:t>
            </w:r>
            <w:r>
              <w:rPr>
                <w:iCs/>
                <w:sz w:val="19"/>
              </w:rPr>
              <w:t xml:space="preserve"> </w:t>
            </w:r>
            <w:r>
              <w:rPr>
                <w:iCs/>
                <w:sz w:val="19"/>
                <w:vertAlign w:val="superscript"/>
              </w:rPr>
              <w:t>2</w:t>
            </w:r>
          </w:p>
        </w:tc>
        <w:tc>
          <w:tcPr>
            <w:tcW w:w="1276" w:type="dxa"/>
          </w:tcPr>
          <w:p>
            <w:pPr>
              <w:pStyle w:val="nTable"/>
              <w:keepNext/>
              <w:keepLines/>
              <w:spacing w:after="40"/>
              <w:rPr>
                <w:sz w:val="19"/>
              </w:rPr>
            </w:pPr>
            <w:r>
              <w:rPr>
                <w:sz w:val="19"/>
              </w:rPr>
              <w:t>24 Oct 2003 p. 4495-9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2283-4</w:t>
            </w:r>
          </w:p>
        </w:tc>
        <w:tc>
          <w:tcPr>
            <w:tcW w:w="2693" w:type="dxa"/>
          </w:tcPr>
          <w:p>
            <w:pPr>
              <w:pStyle w:val="nTable"/>
              <w:spacing w:after="40"/>
              <w:rPr>
                <w:sz w:val="19"/>
              </w:rPr>
            </w:pPr>
            <w:r>
              <w:rPr>
                <w:sz w:val="19"/>
              </w:rPr>
              <w:t>1 Jul 2006 (see r. 2)</w:t>
            </w:r>
          </w:p>
        </w:tc>
      </w:tr>
      <w:tr>
        <w:tc>
          <w:tcPr>
            <w:tcW w:w="3118" w:type="dxa"/>
            <w:tcBorders>
              <w:bottom w:val="single" w:sz="4" w:space="0" w:color="auto"/>
            </w:tcBorders>
          </w:tcPr>
          <w:p>
            <w:pPr>
              <w:pStyle w:val="nTable"/>
              <w:spacing w:after="40"/>
              <w:rPr>
                <w:i/>
                <w:sz w:val="19"/>
              </w:rPr>
            </w:pPr>
            <w:r>
              <w:rPr>
                <w:i/>
                <w:sz w:val="19"/>
              </w:rPr>
              <w:t>Electricity (Licensing) Amendment Regulations (No. 2) 2007</w:t>
            </w:r>
          </w:p>
        </w:tc>
        <w:tc>
          <w:tcPr>
            <w:tcW w:w="1276" w:type="dxa"/>
            <w:tcBorders>
              <w:bottom w:val="single" w:sz="4" w:space="0" w:color="auto"/>
            </w:tcBorders>
          </w:tcPr>
          <w:p>
            <w:pPr>
              <w:pStyle w:val="nTable"/>
              <w:spacing w:after="40"/>
              <w:rPr>
                <w:sz w:val="19"/>
              </w:rPr>
            </w:pPr>
            <w:r>
              <w:rPr>
                <w:sz w:val="19"/>
              </w:rPr>
              <w:t>15 Jun 2007 p. 2783-4</w:t>
            </w:r>
          </w:p>
        </w:tc>
        <w:tc>
          <w:tcPr>
            <w:tcW w:w="2693" w:type="dxa"/>
            <w:tcBorders>
              <w:bottom w:val="single" w:sz="4" w:space="0" w:color="auto"/>
            </w:tcBorders>
          </w:tcPr>
          <w:p>
            <w:pPr>
              <w:pStyle w:val="nTable"/>
              <w:spacing w:after="40"/>
              <w:rPr>
                <w:sz w:val="19"/>
              </w:rPr>
            </w:pPr>
            <w:r>
              <w:rPr>
                <w:sz w:val="19"/>
              </w:rPr>
              <w:t>r. 1 and 2: 15 Jun 2007 (see r. 2(a));</w:t>
            </w:r>
            <w:r>
              <w:rPr>
                <w:sz w:val="19"/>
              </w:rPr>
              <w:br/>
              <w:t>Regulations other than r. 1 and 2: 1 Jul 2007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8" w:name="_Toc7405065"/>
      <w:bookmarkStart w:id="489" w:name="_Toc186871662"/>
      <w:r>
        <w:t>Provisions that have not come into operation</w:t>
      </w:r>
      <w:bookmarkEnd w:id="488"/>
      <w:bookmarkEnd w:id="4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iCs/>
                <w:sz w:val="19"/>
              </w:rPr>
            </w:pPr>
            <w:r>
              <w:rPr>
                <w:i/>
                <w:sz w:val="19"/>
              </w:rPr>
              <w:t>Electricity (Licensing) Amendment Regulations 2007</w:t>
            </w:r>
            <w:r>
              <w:rPr>
                <w:iCs/>
                <w:sz w:val="19"/>
              </w:rPr>
              <w:t xml:space="preserve"> r. 3-59</w:t>
            </w:r>
            <w:r>
              <w:rPr>
                <w:iCs/>
                <w:sz w:val="19"/>
                <w:vertAlign w:val="superscript"/>
              </w:rPr>
              <w:t xml:space="preserve"> 4</w:t>
            </w:r>
          </w:p>
        </w:tc>
        <w:tc>
          <w:tcPr>
            <w:tcW w:w="1276" w:type="dxa"/>
            <w:tcBorders>
              <w:top w:val="single" w:sz="8" w:space="0" w:color="auto"/>
              <w:bottom w:val="single" w:sz="4" w:space="0" w:color="auto"/>
            </w:tcBorders>
          </w:tcPr>
          <w:p>
            <w:pPr>
              <w:pStyle w:val="nTable"/>
              <w:spacing w:after="40"/>
              <w:rPr>
                <w:sz w:val="19"/>
              </w:rPr>
            </w:pPr>
            <w:r>
              <w:rPr>
                <w:sz w:val="19"/>
              </w:rPr>
              <w:t>31 Dec 2007 p. 6485-539</w:t>
            </w:r>
          </w:p>
        </w:tc>
        <w:tc>
          <w:tcPr>
            <w:tcW w:w="2693" w:type="dxa"/>
            <w:tcBorders>
              <w:top w:val="single" w:sz="8" w:space="0" w:color="auto"/>
              <w:bottom w:val="single" w:sz="4" w:space="0" w:color="auto"/>
            </w:tcBorders>
          </w:tcPr>
          <w:p>
            <w:pPr>
              <w:pStyle w:val="nTable"/>
              <w:spacing w:after="40"/>
              <w:rPr>
                <w:sz w:val="19"/>
              </w:rPr>
            </w:pPr>
            <w:r>
              <w:rPr>
                <w:sz w:val="19"/>
              </w:rPr>
              <w:t>r. 1 and 2: 31 Dec 2007 (see r. 2(a));</w:t>
            </w:r>
          </w:p>
          <w:p>
            <w:pPr>
              <w:pStyle w:val="nTable"/>
              <w:spacing w:before="0" w:after="40"/>
              <w:rPr>
                <w:sz w:val="19"/>
              </w:rPr>
            </w:pPr>
            <w:r>
              <w:rPr>
                <w:sz w:val="19"/>
              </w:rPr>
              <w:t>Regulations other than r. 1 and 2: 1 Jul 2008 (see r. 2(b))</w:t>
            </w:r>
          </w:p>
        </w:tc>
      </w:tr>
    </w:tbl>
    <w:p/>
    <w:p>
      <w:pPr>
        <w:pStyle w:val="nSubsection"/>
      </w:pPr>
      <w:r>
        <w:rPr>
          <w:vertAlign w:val="superscript"/>
        </w:rPr>
        <w:t>2</w:t>
      </w:r>
      <w:r>
        <w:tab/>
        <w:t xml:space="preserve">The </w:t>
      </w:r>
      <w:r>
        <w:rPr>
          <w:i/>
        </w:rPr>
        <w:t>Electricity (Licensing) Amendment Regulations (No. 2) 2003</w:t>
      </w:r>
      <w:r>
        <w:t xml:space="preserve"> r. 3(4) reads as follows:</w:t>
      </w:r>
    </w:p>
    <w:p>
      <w:pPr>
        <w:pStyle w:val="MiscOpen"/>
      </w:pPr>
      <w:r>
        <w:t>“</w:t>
      </w:r>
    </w:p>
    <w:p>
      <w:pPr>
        <w:pStyle w:val="nzSubsection"/>
      </w:pPr>
      <w:r>
        <w:tab/>
        <w:t>(4)</w:t>
      </w:r>
      <w:r>
        <w:tab/>
        <w:t xml:space="preserve">Despite the amendments made to regulation 5 of the </w:t>
      </w:r>
      <w:r>
        <w:rPr>
          <w:i/>
        </w:rPr>
        <w:t>Electricity (Licensing) Regulations 1991</w:t>
      </w:r>
      <w:r>
        <w:t xml:space="preserve"> (the </w:t>
      </w:r>
      <w:r>
        <w:rPr>
          <w:b/>
        </w:rPr>
        <w:t>“</w:t>
      </w:r>
      <w:r>
        <w:rPr>
          <w:b/>
          <w:bCs/>
        </w:rPr>
        <w:t>licensing regulations</w:t>
      </w:r>
      <w:r>
        <w:rPr>
          <w:b/>
        </w:rPr>
        <w:t>”</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MiscClose"/>
      </w:pPr>
      <w:r>
        <w:t>”.</w:t>
      </w:r>
    </w:p>
    <w:p>
      <w:pPr>
        <w:pStyle w:val="nSubsection"/>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Subsection"/>
        <w:keepLines/>
        <w:spacing w:before="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Electricity (Licensing) Amendment Regulations 2007</w:t>
      </w:r>
      <w:r>
        <w:rPr>
          <w:snapToGrid w:val="0"/>
        </w:rPr>
        <w:t xml:space="preserve"> r. 3-59 had not come into operation.  They read as follows:</w:t>
      </w:r>
    </w:p>
    <w:p>
      <w:pPr>
        <w:pStyle w:val="MiscOpen"/>
        <w:keepNext w:val="0"/>
        <w:spacing w:before="60"/>
        <w:rPr>
          <w:sz w:val="20"/>
        </w:rPr>
      </w:pPr>
      <w:r>
        <w:rPr>
          <w:sz w:val="20"/>
        </w:rPr>
        <w:t>“</w:t>
      </w:r>
    </w:p>
    <w:p>
      <w:pPr>
        <w:pStyle w:val="nzHeading5"/>
        <w:rPr>
          <w:snapToGrid w:val="0"/>
        </w:rPr>
      </w:pPr>
      <w:bookmarkStart w:id="490" w:name="_Toc423332724"/>
      <w:bookmarkStart w:id="491" w:name="_Toc425219443"/>
      <w:bookmarkStart w:id="492" w:name="_Toc426249310"/>
      <w:bookmarkStart w:id="493" w:name="_Toc449924706"/>
      <w:bookmarkStart w:id="494" w:name="_Toc449947724"/>
      <w:bookmarkStart w:id="495" w:name="_Toc121624808"/>
      <w:bookmarkStart w:id="496" w:name="_Toc176064178"/>
      <w:bookmarkStart w:id="497" w:name="_Toc186853994"/>
      <w:r>
        <w:rPr>
          <w:rStyle w:val="CharSectno"/>
        </w:rPr>
        <w:t>3</w:t>
      </w:r>
      <w:r>
        <w:rPr>
          <w:snapToGrid w:val="0"/>
        </w:rPr>
        <w:t>.</w:t>
      </w:r>
      <w:r>
        <w:rPr>
          <w:snapToGrid w:val="0"/>
        </w:rPr>
        <w:tab/>
        <w:t>The regulations amended</w:t>
      </w:r>
      <w:bookmarkEnd w:id="490"/>
      <w:bookmarkEnd w:id="491"/>
      <w:bookmarkEnd w:id="492"/>
      <w:bookmarkEnd w:id="493"/>
      <w:bookmarkEnd w:id="494"/>
      <w:bookmarkEnd w:id="495"/>
      <w:bookmarkEnd w:id="496"/>
      <w:bookmarkEnd w:id="497"/>
    </w:p>
    <w:p>
      <w:pPr>
        <w:pStyle w:val="nzSubsection"/>
      </w:pPr>
      <w:r>
        <w:tab/>
      </w:r>
      <w:r>
        <w:tab/>
        <w:t xml:space="preserve">The amendments in </w:t>
      </w:r>
      <w:r>
        <w:rPr>
          <w:spacing w:val="-2"/>
        </w:rPr>
        <w:t>these</w:t>
      </w:r>
      <w:r>
        <w:t xml:space="preserve"> regulations are to the </w:t>
      </w:r>
      <w:r>
        <w:rPr>
          <w:i/>
        </w:rPr>
        <w:t>Electricity (Licensing) Regulations 1991</w:t>
      </w:r>
      <w:r>
        <w:t>.</w:t>
      </w:r>
    </w:p>
    <w:p>
      <w:pPr>
        <w:pStyle w:val="nzHeading5"/>
      </w:pPr>
      <w:bookmarkStart w:id="498" w:name="_Toc121624809"/>
      <w:bookmarkStart w:id="499" w:name="_Toc176064179"/>
      <w:bookmarkStart w:id="500" w:name="_Toc186853995"/>
      <w:r>
        <w:rPr>
          <w:rStyle w:val="CharSectno"/>
        </w:rPr>
        <w:t>4</w:t>
      </w:r>
      <w:r>
        <w:t>.</w:t>
      </w:r>
      <w:r>
        <w:tab/>
        <w:t>Regulation 3 amended</w:t>
      </w:r>
      <w:bookmarkEnd w:id="498"/>
      <w:bookmarkEnd w:id="499"/>
      <w:bookmarkEnd w:id="500"/>
    </w:p>
    <w:p>
      <w:pPr>
        <w:pStyle w:val="nzSubsection"/>
      </w:pPr>
      <w:r>
        <w:tab/>
      </w:r>
      <w:r>
        <w:tab/>
        <w:t>Regulation 3(1) is amended as follows:</w:t>
      </w:r>
    </w:p>
    <w:p>
      <w:pPr>
        <w:pStyle w:val="nzIndenta"/>
      </w:pPr>
      <w:r>
        <w:tab/>
        <w:t>(a)</w:t>
      </w:r>
      <w:r>
        <w:tab/>
        <w:t xml:space="preserve">in the definition of “electrical contractor” — </w:t>
      </w:r>
    </w:p>
    <w:p>
      <w:pPr>
        <w:pStyle w:val="nzIndenti"/>
      </w:pPr>
      <w:r>
        <w:tab/>
        <w:t>(i)</w:t>
      </w:r>
      <w:r>
        <w:tab/>
        <w:t xml:space="preserve">by deleting “electrical mechanic” in both places where it occurs and inserting instead — </w:t>
      </w:r>
    </w:p>
    <w:p>
      <w:pPr>
        <w:pStyle w:val="nzIndenti"/>
      </w:pPr>
      <w:r>
        <w:tab/>
      </w:r>
      <w:r>
        <w:tab/>
        <w:t>“    electrician    ”;</w:t>
      </w:r>
    </w:p>
    <w:p>
      <w:pPr>
        <w:pStyle w:val="nzIndenti"/>
      </w:pPr>
      <w:r>
        <w:tab/>
        <w:t>(ii)</w:t>
      </w:r>
      <w:r>
        <w:tab/>
        <w:t xml:space="preserve">after “employee” by inserting — </w:t>
      </w:r>
    </w:p>
    <w:p>
      <w:pPr>
        <w:pStyle w:val="nzIndenti"/>
      </w:pPr>
      <w:r>
        <w:tab/>
      </w:r>
      <w:r>
        <w:tab/>
        <w:t>“    of an electrical contractor    ”;</w:t>
      </w:r>
    </w:p>
    <w:p>
      <w:pPr>
        <w:pStyle w:val="nzIndenta"/>
      </w:pPr>
      <w:r>
        <w:tab/>
        <w:t>(b)</w:t>
      </w:r>
      <w:r>
        <w:tab/>
        <w:t>by deleting the definition of “electrical fitter”;</w:t>
      </w:r>
    </w:p>
    <w:p>
      <w:pPr>
        <w:pStyle w:val="nzIndenta"/>
      </w:pPr>
      <w:r>
        <w:tab/>
        <w:t>(c)</w:t>
      </w:r>
      <w:r>
        <w:tab/>
        <w:t xml:space="preserve">in the definition of “electrical installing work” — </w:t>
      </w:r>
    </w:p>
    <w:p>
      <w:pPr>
        <w:pStyle w:val="nzIndenti"/>
      </w:pPr>
      <w:r>
        <w:tab/>
        <w:t>(i)</w:t>
      </w:r>
      <w:r>
        <w:tab/>
        <w:t xml:space="preserve">by deleting “the work” and inserting instead — </w:t>
      </w:r>
    </w:p>
    <w:p>
      <w:pPr>
        <w:pStyle w:val="nzIndenti"/>
      </w:pPr>
      <w:r>
        <w:tab/>
      </w:r>
      <w:r>
        <w:tab/>
        <w:t xml:space="preserve">“    electrical work that consists    ”; </w:t>
      </w:r>
    </w:p>
    <w:p>
      <w:pPr>
        <w:pStyle w:val="nzIndenti"/>
      </w:pPr>
      <w:r>
        <w:tab/>
        <w:t>(ii)</w:t>
      </w:r>
      <w:r>
        <w:tab/>
        <w:t>by deleting “enhancing, repairing,”;</w:t>
      </w:r>
    </w:p>
    <w:p>
      <w:pPr>
        <w:pStyle w:val="nzIndenta"/>
      </w:pPr>
      <w:r>
        <w:tab/>
        <w:t>(d)</w:t>
      </w:r>
      <w:r>
        <w:tab/>
        <w:t>by deleting the definition of “electrical mechanic”;</w:t>
      </w:r>
    </w:p>
    <w:p>
      <w:pPr>
        <w:pStyle w:val="nzIndenta"/>
      </w:pPr>
      <w:r>
        <w:tab/>
        <w:t>(e)</w:t>
      </w:r>
      <w:r>
        <w:tab/>
        <w:t xml:space="preserve">in the definition of “electrical work” by deleting “115 volts” and inserting instead — </w:t>
      </w:r>
    </w:p>
    <w:p>
      <w:pPr>
        <w:pStyle w:val="nzIndenta"/>
      </w:pPr>
      <w:r>
        <w:tab/>
      </w:r>
      <w:r>
        <w:tab/>
        <w:t>“    120 volts ripple free    ”;</w:t>
      </w:r>
    </w:p>
    <w:p>
      <w:pPr>
        <w:pStyle w:val="nzIndenta"/>
      </w:pPr>
      <w:r>
        <w:tab/>
        <w:t>(f)</w:t>
      </w:r>
      <w:r>
        <w:tab/>
        <w:t xml:space="preserve">after the definition of “electrical worker’s licence” by inserting — </w:t>
      </w:r>
    </w:p>
    <w:p>
      <w:pPr>
        <w:pStyle w:val="MiscOpen"/>
        <w:ind w:left="879"/>
      </w:pPr>
      <w:r>
        <w:t xml:space="preserve">“    </w:t>
      </w:r>
    </w:p>
    <w:p>
      <w:pPr>
        <w:pStyle w:val="nzDefstart"/>
      </w:pPr>
      <w:r>
        <w:tab/>
      </w:r>
      <w:r>
        <w:rPr>
          <w:b/>
        </w:rPr>
        <w:t>“</w:t>
      </w:r>
      <w:r>
        <w:rPr>
          <w:rStyle w:val="CharDefText"/>
        </w:rPr>
        <w:t>electrician</w:t>
      </w:r>
      <w:r>
        <w:rPr>
          <w:b/>
        </w:rPr>
        <w:t>”</w:t>
      </w:r>
      <w:r>
        <w:t xml:space="preserve"> means an electrical worker who is authorised by a licence to carry out electrical installing work and electrical fitting work;</w:t>
      </w:r>
    </w:p>
    <w:p>
      <w:pPr>
        <w:pStyle w:val="MiscClose"/>
      </w:pPr>
      <w:r>
        <w:t xml:space="preserve">    ”;</w:t>
      </w:r>
    </w:p>
    <w:p>
      <w:pPr>
        <w:pStyle w:val="nzIndenta"/>
      </w:pPr>
      <w:r>
        <w:tab/>
        <w:t>(g)</w:t>
      </w:r>
      <w:r>
        <w:tab/>
        <w:t xml:space="preserve">in the definition of “live” by deleting “to be live” and inserting instead — </w:t>
      </w:r>
    </w:p>
    <w:p>
      <w:pPr>
        <w:pStyle w:val="nzIndenta"/>
      </w:pPr>
      <w:r>
        <w:tab/>
      </w:r>
      <w:r>
        <w:tab/>
        <w:t>“    to be a live part    ”;</w:t>
      </w:r>
    </w:p>
    <w:p>
      <w:pPr>
        <w:pStyle w:val="nzIndenta"/>
      </w:pPr>
      <w:r>
        <w:tab/>
        <w:t>(h)</w:t>
      </w:r>
      <w:r>
        <w:tab/>
        <w:t xml:space="preserve">by deleting the definition of “minor work” and inserting before the definition of “permit” — </w:t>
      </w:r>
    </w:p>
    <w:p>
      <w:pPr>
        <w:pStyle w:val="MiscOpen"/>
        <w:ind w:left="880"/>
      </w:pPr>
      <w:r>
        <w:t xml:space="preserve">“    </w:t>
      </w:r>
    </w:p>
    <w:p>
      <w:pPr>
        <w:pStyle w:val="nzDefstart"/>
      </w:pPr>
      <w:r>
        <w:tab/>
      </w:r>
      <w:r>
        <w:rPr>
          <w:b/>
        </w:rPr>
        <w:t>“</w:t>
      </w:r>
      <w:r>
        <w:rPr>
          <w:rStyle w:val="CharDefText"/>
        </w:rPr>
        <w:t>notifiable work</w:t>
      </w:r>
      <w:r>
        <w:rPr>
          <w:b/>
        </w:rPr>
        <w:t>”</w:t>
      </w:r>
      <w:r>
        <w:t xml:space="preserve"> means electrical installing work other than — </w:t>
      </w:r>
    </w:p>
    <w:p>
      <w:pPr>
        <w:pStyle w:val="nzDefpara"/>
      </w:pPr>
      <w:r>
        <w:tab/>
        <w:t>(a)</w:t>
      </w:r>
      <w:r>
        <w:tab/>
        <w:t>maintenance work, unless that work requires the disconnection and reconnection of the supply of electricity to the electrical installation concerned or the replacement of service apparatus; or</w:t>
      </w:r>
    </w:p>
    <w:p>
      <w:pPr>
        <w:pStyle w:val="nzDefpara"/>
      </w:pPr>
      <w:r>
        <w:tab/>
        <w:t>(b)</w:t>
      </w:r>
      <w:r>
        <w:tab/>
        <w:t>the alteration of a final sub</w:t>
      </w:r>
      <w:r>
        <w:noBreakHyphen/>
        <w:t>circuit; or</w:t>
      </w:r>
    </w:p>
    <w:p>
      <w:pPr>
        <w:pStyle w:val="nzDefpara"/>
      </w:pPr>
      <w:r>
        <w:tab/>
        <w:t>(c)</w:t>
      </w:r>
      <w:r>
        <w:tab/>
        <w:t>the addition of a single final sub</w:t>
      </w:r>
      <w:r>
        <w:noBreakHyphen/>
        <w:t>circuit;</w:t>
      </w:r>
    </w:p>
    <w:p>
      <w:pPr>
        <w:pStyle w:val="MiscClose"/>
      </w:pPr>
      <w:r>
        <w:t xml:space="preserve">    ”;</w:t>
      </w:r>
    </w:p>
    <w:p>
      <w:pPr>
        <w:pStyle w:val="nzIndenta"/>
      </w:pPr>
      <w:r>
        <w:tab/>
        <w:t>(i)</w:t>
      </w:r>
      <w:r>
        <w:tab/>
        <w:t xml:space="preserve">after the definition of “permit” by inserting — </w:t>
      </w:r>
    </w:p>
    <w:p>
      <w:pPr>
        <w:pStyle w:val="MiscOpen"/>
        <w:ind w:left="879"/>
      </w:pPr>
      <w:r>
        <w:t xml:space="preserve">“    </w:t>
      </w:r>
    </w:p>
    <w:p>
      <w:pPr>
        <w:pStyle w:val="nzDefstart"/>
      </w:pPr>
      <w:r>
        <w:tab/>
      </w:r>
      <w:r>
        <w:rPr>
          <w:b/>
        </w:rPr>
        <w:t>“</w:t>
      </w:r>
      <w:r>
        <w:rPr>
          <w:rStyle w:val="CharDefText"/>
        </w:rPr>
        <w:t>prescribed policy of insurance</w:t>
      </w:r>
      <w:r>
        <w:rPr>
          <w:b/>
        </w:rPr>
        <w:t>”</w:t>
      </w:r>
      <w:r>
        <w:t xml:space="preserve"> means the policy of insurance required to be held under regulation 36(1)(a)(iv) in respect of the work of an electrical contractor;</w:t>
      </w:r>
    </w:p>
    <w:p>
      <w:pPr>
        <w:pStyle w:val="MiscClose"/>
      </w:pPr>
      <w:r>
        <w:t xml:space="preserve">    ”;</w:t>
      </w:r>
    </w:p>
    <w:p>
      <w:pPr>
        <w:pStyle w:val="nzIndenta"/>
      </w:pPr>
      <w:r>
        <w:tab/>
        <w:t>(j)</w:t>
      </w:r>
      <w:r>
        <w:tab/>
        <w:t xml:space="preserve">in the definition of “private generating plant” by deleting “115 volts” and inserting instead — </w:t>
      </w:r>
    </w:p>
    <w:p>
      <w:pPr>
        <w:pStyle w:val="nzIndenta"/>
      </w:pPr>
      <w:r>
        <w:tab/>
      </w:r>
      <w:r>
        <w:tab/>
        <w:t>“    120 volts ripple free    ”.</w:t>
      </w:r>
    </w:p>
    <w:p>
      <w:pPr>
        <w:pStyle w:val="nzHeading5"/>
      </w:pPr>
      <w:bookmarkStart w:id="501" w:name="_Toc121624810"/>
      <w:bookmarkStart w:id="502" w:name="_Toc176064180"/>
      <w:bookmarkStart w:id="503" w:name="_Toc186853996"/>
      <w:r>
        <w:rPr>
          <w:rStyle w:val="CharSectno"/>
        </w:rPr>
        <w:t>5</w:t>
      </w:r>
      <w:r>
        <w:t>.</w:t>
      </w:r>
      <w:r>
        <w:tab/>
        <w:t>Regulation 5 amended</w:t>
      </w:r>
      <w:bookmarkEnd w:id="501"/>
      <w:r>
        <w:t xml:space="preserve"> and transitional</w:t>
      </w:r>
      <w:bookmarkEnd w:id="502"/>
      <w:bookmarkEnd w:id="503"/>
    </w:p>
    <w:p>
      <w:pPr>
        <w:pStyle w:val="nzSubsection"/>
      </w:pPr>
      <w:r>
        <w:tab/>
        <w:t>(1)</w:t>
      </w:r>
      <w:r>
        <w:tab/>
        <w:t xml:space="preserve">Regulation 5(2)(b)(i) is amended by deleting ““A” grade licence for electrical installing work” and inserting instead — </w:t>
      </w:r>
    </w:p>
    <w:p>
      <w:pPr>
        <w:pStyle w:val="nzSubsection"/>
      </w:pPr>
      <w:r>
        <w:tab/>
      </w:r>
      <w:r>
        <w:tab/>
        <w:t>“    electrician’s licence    ”.</w:t>
      </w:r>
    </w:p>
    <w:p>
      <w:pPr>
        <w:pStyle w:val="nzSubsection"/>
      </w:pPr>
      <w:r>
        <w:tab/>
        <w:t>(2)</w:t>
      </w:r>
      <w:r>
        <w:tab/>
        <w:t xml:space="preserve">Regulation 5(2)(c) is amended by deleting “restricted electrical licence holders;” and inserting instead — </w:t>
      </w:r>
    </w:p>
    <w:p>
      <w:pPr>
        <w:pStyle w:val="nzSubsection"/>
      </w:pPr>
      <w:r>
        <w:tab/>
      </w:r>
      <w:r>
        <w:tab/>
        <w:t>“    persons who hold a restricted licence;    ”.</w:t>
      </w:r>
    </w:p>
    <w:p>
      <w:pPr>
        <w:pStyle w:val="nzSubsection"/>
      </w:pPr>
      <w:r>
        <w:tab/>
        <w:t>(3)</w:t>
      </w:r>
      <w:r>
        <w:tab/>
        <w:t xml:space="preserve">Regulation 5(2)(d)(i) is amended by deleting ““A” grade licence for electrical installing work” and inserting instead — </w:t>
      </w:r>
    </w:p>
    <w:p>
      <w:pPr>
        <w:pStyle w:val="nzSubsection"/>
      </w:pPr>
      <w:r>
        <w:tab/>
      </w:r>
      <w:r>
        <w:tab/>
        <w:t>“    electrician’s licence    ”.</w:t>
      </w:r>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p>
    <w:p>
      <w:pPr>
        <w:pStyle w:val="nzHeading5"/>
      </w:pPr>
      <w:bookmarkStart w:id="504" w:name="_Toc121624811"/>
      <w:bookmarkStart w:id="505" w:name="_Toc176064181"/>
      <w:bookmarkStart w:id="506" w:name="_Toc186853997"/>
      <w:r>
        <w:rPr>
          <w:rStyle w:val="CharSectno"/>
        </w:rPr>
        <w:t>6</w:t>
      </w:r>
      <w:r>
        <w:t>.</w:t>
      </w:r>
      <w:r>
        <w:tab/>
        <w:t>Regulation 8 amended</w:t>
      </w:r>
      <w:bookmarkEnd w:id="504"/>
      <w:bookmarkEnd w:id="505"/>
      <w:bookmarkEnd w:id="506"/>
    </w:p>
    <w:p>
      <w:pPr>
        <w:pStyle w:val="nzSubsection"/>
      </w:pPr>
      <w:r>
        <w:tab/>
        <w:t>(1)</w:t>
      </w:r>
      <w:r>
        <w:tab/>
        <w:t xml:space="preserve">After regulation 8(2)(a) the following is inserted — </w:t>
      </w:r>
    </w:p>
    <w:p>
      <w:pPr>
        <w:pStyle w:val="MiscOpen"/>
        <w:ind w:left="1340"/>
      </w:pPr>
      <w:r>
        <w:t xml:space="preserve">“    </w:t>
      </w:r>
    </w:p>
    <w:p>
      <w:pPr>
        <w:pStyle w:val="nzIndenta"/>
      </w:pPr>
      <w:r>
        <w:tab/>
      </w:r>
      <w:r>
        <w:tab/>
        <w:t>or</w:t>
      </w:r>
    </w:p>
    <w:p>
      <w:pPr>
        <w:pStyle w:val="nzIndenta"/>
      </w:pPr>
      <w:r>
        <w:tab/>
        <w:t>(aa)</w:t>
      </w:r>
      <w:r>
        <w:tab/>
        <w:t>the member is the subject of an order or other disciplinary action under regulation 31, 31A, 47 or 47A; or</w:t>
      </w:r>
    </w:p>
    <w:p>
      <w:pPr>
        <w:pStyle w:val="nzIndenta"/>
      </w:pPr>
      <w:r>
        <w:tab/>
        <w:t>(ab)</w:t>
      </w:r>
      <w:r>
        <w:tab/>
        <w:t xml:space="preserve">the member is — </w:t>
      </w:r>
    </w:p>
    <w:p>
      <w:pPr>
        <w:pStyle w:val="nzIndenti"/>
      </w:pPr>
      <w:r>
        <w:tab/>
        <w:t>(i)</w:t>
      </w:r>
      <w:r>
        <w:tab/>
        <w:t>a member of a firm, or otherwise concerned in the management of a firm; or</w:t>
      </w:r>
    </w:p>
    <w:p>
      <w:pPr>
        <w:pStyle w:val="nzIndenti"/>
      </w:pPr>
      <w:r>
        <w:tab/>
        <w:t>(ii)</w:t>
      </w:r>
      <w:r>
        <w:tab/>
        <w:t>a director of a body corporate, or otherwise concerned in the management of a body corporate,</w:t>
      </w:r>
    </w:p>
    <w:p>
      <w:pPr>
        <w:pStyle w:val="nzIndenta"/>
      </w:pPr>
      <w:r>
        <w:tab/>
      </w:r>
      <w:r>
        <w:tab/>
        <w:t>that is the subject of an order or other disciplinary action under regulation 47 or 47A; or</w:t>
      </w:r>
    </w:p>
    <w:p>
      <w:pPr>
        <w:pStyle w:val="nzIndenta"/>
      </w:pPr>
      <w:r>
        <w:tab/>
        <w:t>(ac)</w:t>
      </w:r>
      <w:r>
        <w:tab/>
        <w:t>the member, or a body corporate of which the member is a director or in the management of which the member is otherwise concerned, is convicted of an offence against the Act or these regulations; or</w:t>
      </w:r>
    </w:p>
    <w:p>
      <w:pPr>
        <w:pStyle w:val="MiscClose"/>
      </w:pPr>
      <w:r>
        <w:t xml:space="preserve">    ”.</w:t>
      </w:r>
    </w:p>
    <w:p>
      <w:pPr>
        <w:pStyle w:val="nzSubsection"/>
      </w:pPr>
      <w:r>
        <w:tab/>
        <w:t>(2)</w:t>
      </w:r>
      <w:r>
        <w:tab/>
        <w:t xml:space="preserve">Regulation 8(3) is amended after “incompetence” by inserting — </w:t>
      </w:r>
    </w:p>
    <w:p>
      <w:pPr>
        <w:pStyle w:val="MiscOpen"/>
        <w:ind w:left="879"/>
      </w:pPr>
      <w:r>
        <w:t xml:space="preserve">“    </w:t>
      </w:r>
    </w:p>
    <w:p>
      <w:pPr>
        <w:pStyle w:val="nzSubsection"/>
      </w:pPr>
      <w:r>
        <w:tab/>
      </w:r>
      <w:r>
        <w:tab/>
        <w:t>or on any other grounds on which the Minister regards the member as not being a fit and proper person to hold office</w:t>
      </w:r>
    </w:p>
    <w:p>
      <w:pPr>
        <w:pStyle w:val="MiscClose"/>
      </w:pPr>
      <w:r>
        <w:t xml:space="preserve">    ”.</w:t>
      </w:r>
    </w:p>
    <w:p>
      <w:pPr>
        <w:pStyle w:val="nzHeading5"/>
      </w:pPr>
      <w:bookmarkStart w:id="507" w:name="_Toc121624812"/>
      <w:bookmarkStart w:id="508" w:name="_Toc176064182"/>
      <w:bookmarkStart w:id="509" w:name="_Toc186853998"/>
      <w:r>
        <w:rPr>
          <w:rStyle w:val="CharSectno"/>
        </w:rPr>
        <w:t>7</w:t>
      </w:r>
      <w:r>
        <w:t>.</w:t>
      </w:r>
      <w:r>
        <w:tab/>
        <w:t>Regulation 13 amended</w:t>
      </w:r>
      <w:bookmarkEnd w:id="507"/>
      <w:bookmarkEnd w:id="508"/>
      <w:bookmarkEnd w:id="509"/>
    </w:p>
    <w:p>
      <w:pPr>
        <w:pStyle w:val="nzSubsection"/>
      </w:pPr>
      <w:r>
        <w:tab/>
        <w:t>(1)</w:t>
      </w:r>
      <w:r>
        <w:tab/>
        <w:t xml:space="preserve">Regulation 13(1) is amended by deleting the passage before paragraph (a) and inserting instead — </w:t>
      </w:r>
    </w:p>
    <w:p>
      <w:pPr>
        <w:pStyle w:val="MiscOpen"/>
        <w:ind w:left="880"/>
      </w:pPr>
      <w:r>
        <w:t xml:space="preserve">“    </w:t>
      </w:r>
    </w:p>
    <w:p>
      <w:pPr>
        <w:pStyle w:val="nzSubsection"/>
      </w:pPr>
      <w:r>
        <w:tab/>
      </w:r>
      <w:r>
        <w:tab/>
        <w:t xml:space="preserve">In carrying out its functions under these regulations the Board — </w:t>
      </w:r>
    </w:p>
    <w:p>
      <w:pPr>
        <w:pStyle w:val="MiscClose"/>
      </w:pPr>
      <w:r>
        <w:t xml:space="preserve">    ”.</w:t>
      </w:r>
    </w:p>
    <w:p>
      <w:pPr>
        <w:pStyle w:val="nzSubsection"/>
      </w:pPr>
      <w:r>
        <w:tab/>
        <w:t>(2)</w:t>
      </w:r>
      <w:r>
        <w:tab/>
        <w:t xml:space="preserve">Regulation 13(2) is repealed and the following subregulations are inserted instead — </w:t>
      </w:r>
    </w:p>
    <w:p>
      <w:pPr>
        <w:pStyle w:val="MiscOpen"/>
        <w:ind w:left="600"/>
      </w:pPr>
      <w:r>
        <w:t xml:space="preserve">“    </w:t>
      </w:r>
    </w:p>
    <w:p>
      <w:pPr>
        <w:pStyle w:val="nzSubsection"/>
      </w:pPr>
      <w:r>
        <w:tab/>
        <w:t>(2)</w:t>
      </w:r>
      <w:r>
        <w:tab/>
        <w:t>The functions of the Board are —</w:t>
      </w:r>
    </w:p>
    <w:p>
      <w:pPr>
        <w:pStyle w:val="nz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nzIndenta"/>
      </w:pPr>
      <w:r>
        <w:tab/>
        <w:t>(b)</w:t>
      </w:r>
      <w:r>
        <w:tab/>
        <w:t>to advise the Minister and the Director on matters relating to the licensing and regulation of persons who hold, or are to be issued with, a licence or permit under these regulations; and</w:t>
      </w:r>
    </w:p>
    <w:p>
      <w:pPr>
        <w:pStyle w:val="nzIndenta"/>
      </w:pPr>
      <w:r>
        <w:tab/>
        <w:t>(c)</w:t>
      </w:r>
      <w:r>
        <w:tab/>
        <w:t>to issue the licences and permits provided for by these regulations; and</w:t>
      </w:r>
    </w:p>
    <w:p>
      <w:pPr>
        <w:pStyle w:val="nzIndenta"/>
      </w:pPr>
      <w:r>
        <w:tab/>
        <w:t>(d)</w:t>
      </w:r>
      <w:r>
        <w:tab/>
        <w:t>to perform licensing, disciplinary and other functions conferred on it by these regulations.</w:t>
      </w:r>
    </w:p>
    <w:p>
      <w:pPr>
        <w:pStyle w:val="nzSubsection"/>
      </w:pPr>
      <w:r>
        <w:tab/>
        <w:t>(2a)</w:t>
      </w:r>
      <w:r>
        <w:tab/>
        <w:t>The Board has all the powers it needs to perform its functions under these regulations.</w:t>
      </w:r>
    </w:p>
    <w:p>
      <w:pPr>
        <w:pStyle w:val="MiscClose"/>
      </w:pPr>
      <w:r>
        <w:t xml:space="preserve">    ”.</w:t>
      </w:r>
    </w:p>
    <w:p>
      <w:pPr>
        <w:pStyle w:val="nzSubsection"/>
      </w:pPr>
      <w:r>
        <w:tab/>
        <w:t>(3)</w:t>
      </w:r>
      <w:r>
        <w:tab/>
        <w:t xml:space="preserve">After regulation 13(3) the following subregulations are inserted — </w:t>
      </w:r>
    </w:p>
    <w:p>
      <w:pPr>
        <w:pStyle w:val="MiscOpen"/>
        <w:ind w:left="600"/>
      </w:pPr>
      <w:r>
        <w:t xml:space="preserve">“    </w:t>
      </w:r>
    </w:p>
    <w:p>
      <w:pPr>
        <w:pStyle w:val="nz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nzSubsection"/>
      </w:pPr>
      <w:r>
        <w:tab/>
        <w:t>(5)</w:t>
      </w:r>
      <w:r>
        <w:tab/>
        <w:t xml:space="preserve">In subregulation (4) — </w:t>
      </w:r>
    </w:p>
    <w:p>
      <w:pPr>
        <w:pStyle w:val="nzDefstart"/>
      </w:pPr>
      <w:r>
        <w:rPr>
          <w:b/>
        </w:rPr>
        <w:tab/>
        <w:t>“</w:t>
      </w:r>
      <w:r>
        <w:rPr>
          <w:rStyle w:val="CharDefText"/>
        </w:rPr>
        <w:t>department</w:t>
      </w:r>
      <w:r>
        <w:rPr>
          <w:b/>
        </w:rPr>
        <w:t>”</w:t>
      </w:r>
      <w:r>
        <w:t xml:space="preserve"> means the department of the Public Service principally assisting in the administration of the Act.</w:t>
      </w:r>
    </w:p>
    <w:p>
      <w:pPr>
        <w:pStyle w:val="MiscClose"/>
      </w:pPr>
      <w:r>
        <w:t xml:space="preserve">    ”.</w:t>
      </w:r>
    </w:p>
    <w:p>
      <w:pPr>
        <w:pStyle w:val="nzHeading5"/>
      </w:pPr>
      <w:bookmarkStart w:id="510" w:name="_Toc176064183"/>
      <w:bookmarkStart w:id="511" w:name="_Toc186853999"/>
      <w:r>
        <w:rPr>
          <w:rStyle w:val="CharSectno"/>
          <w:rFonts w:ascii="Times" w:hAnsi="Times"/>
        </w:rPr>
        <w:t>8</w:t>
      </w:r>
      <w:r>
        <w:rPr>
          <w:rFonts w:ascii="Times" w:hAnsi="Times"/>
        </w:rPr>
        <w:t>.</w:t>
      </w:r>
      <w:r>
        <w:rPr>
          <w:rFonts w:ascii="Times" w:hAnsi="Times"/>
        </w:rPr>
        <w:tab/>
        <w:t>Regulation 15 inserted</w:t>
      </w:r>
      <w:bookmarkEnd w:id="510"/>
      <w:bookmarkEnd w:id="511"/>
    </w:p>
    <w:p>
      <w:pPr>
        <w:pStyle w:val="nzSubsection"/>
      </w:pPr>
      <w:r>
        <w:rPr>
          <w:rFonts w:ascii="Times" w:hAnsi="Times"/>
        </w:rPr>
        <w:tab/>
      </w:r>
      <w:r>
        <w:rPr>
          <w:rFonts w:ascii="Times" w:hAnsi="Times"/>
        </w:rPr>
        <w:tab/>
        <w:t xml:space="preserve">After regulation 14 the following regulation is inserted in Part 2 — </w:t>
      </w:r>
    </w:p>
    <w:p>
      <w:pPr>
        <w:pStyle w:val="MiscOpen"/>
        <w:rPr>
          <w:rFonts w:ascii="Times" w:hAnsi="Times"/>
        </w:rPr>
      </w:pPr>
      <w:r>
        <w:rPr>
          <w:rFonts w:ascii="Times" w:hAnsi="Times"/>
        </w:rPr>
        <w:t xml:space="preserve">“    </w:t>
      </w:r>
    </w:p>
    <w:p>
      <w:pPr>
        <w:pStyle w:val="nzHeading5"/>
      </w:pPr>
      <w:bookmarkStart w:id="512" w:name="_Toc176064184"/>
      <w:bookmarkStart w:id="513" w:name="_Toc186854000"/>
      <w:r>
        <w:rPr>
          <w:rFonts w:ascii="Times" w:hAnsi="Times"/>
        </w:rPr>
        <w:t>15.</w:t>
      </w:r>
      <w:r>
        <w:rPr>
          <w:rFonts w:ascii="Times" w:hAnsi="Times"/>
        </w:rPr>
        <w:tab/>
        <w:t>Protection from liability</w:t>
      </w:r>
      <w:bookmarkEnd w:id="512"/>
      <w:bookmarkEnd w:id="513"/>
    </w:p>
    <w:p>
      <w:pPr>
        <w:pStyle w:val="nzSubsection"/>
      </w:pPr>
      <w:r>
        <w:rPr>
          <w:rFonts w:ascii="Times" w:hAnsi="Times"/>
        </w:rPr>
        <w:tab/>
        <w:t>(1)</w:t>
      </w:r>
      <w:r>
        <w:rPr>
          <w:rFonts w:ascii="Times" w:hAnsi="Times"/>
        </w:rPr>
        <w:tab/>
        <w:t xml:space="preserve">An action in tort does not lie against — </w:t>
      </w:r>
    </w:p>
    <w:p>
      <w:pPr>
        <w:pStyle w:val="nzIndenta"/>
      </w:pPr>
      <w:r>
        <w:rPr>
          <w:rFonts w:ascii="Times" w:hAnsi="Times"/>
        </w:rPr>
        <w:tab/>
        <w:t>(a)</w:t>
      </w:r>
      <w:r>
        <w:rPr>
          <w:rFonts w:ascii="Times" w:hAnsi="Times"/>
        </w:rPr>
        <w:tab/>
        <w:t>the Board; or</w:t>
      </w:r>
    </w:p>
    <w:p>
      <w:pPr>
        <w:pStyle w:val="nzIndenta"/>
      </w:pPr>
      <w:r>
        <w:tab/>
        <w:t>(b)</w:t>
      </w:r>
      <w:r>
        <w:tab/>
        <w:t>a member of the Board; or</w:t>
      </w:r>
    </w:p>
    <w:p>
      <w:pPr>
        <w:pStyle w:val="nzIndenta"/>
      </w:pPr>
      <w:r>
        <w:tab/>
        <w:t>(c)</w:t>
      </w:r>
      <w:r>
        <w:tab/>
        <w:t>a person designated or appointed by the Director under regulation 14,</w:t>
      </w:r>
    </w:p>
    <w:p>
      <w:pPr>
        <w:pStyle w:val="nz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nzSubsection"/>
      </w:pPr>
      <w:r>
        <w:tab/>
        <w:t>(2)</w:t>
      </w:r>
      <w:r>
        <w:tab/>
        <w:t>The protection given by subregulation (1) applies even though the thing done as described in that subregulation may have been capable of being done whether or not these regulations had been made.</w:t>
      </w:r>
    </w:p>
    <w:p>
      <w:pPr>
        <w:pStyle w:val="nzSubsection"/>
      </w:pPr>
      <w:r>
        <w:tab/>
        <w:t>(3)</w:t>
      </w:r>
      <w:r>
        <w:tab/>
        <w:t>The State is also relieved of any liability it might otherwise have for another person having done anything as described in that subregulation.</w:t>
      </w:r>
    </w:p>
    <w:p>
      <w:pPr>
        <w:pStyle w:val="nzSubsection"/>
      </w:pPr>
      <w:r>
        <w:tab/>
        <w:t>(4)</w:t>
      </w:r>
      <w:r>
        <w:tab/>
        <w:t>In this regulation a reference to the doing of anything includes a reference to the omission to do anything.</w:t>
      </w:r>
    </w:p>
    <w:p>
      <w:pPr>
        <w:pStyle w:val="MiscClose"/>
        <w:rPr>
          <w:rFonts w:ascii="Times" w:hAnsi="Times"/>
        </w:rPr>
      </w:pPr>
      <w:r>
        <w:rPr>
          <w:rFonts w:ascii="Times" w:hAnsi="Times"/>
        </w:rPr>
        <w:t xml:space="preserve">    ”.</w:t>
      </w:r>
    </w:p>
    <w:p>
      <w:pPr>
        <w:pStyle w:val="nzHeading5"/>
      </w:pPr>
      <w:bookmarkStart w:id="514" w:name="_Toc121624813"/>
      <w:bookmarkStart w:id="515" w:name="_Toc176064185"/>
      <w:bookmarkStart w:id="516" w:name="_Toc186854001"/>
      <w:r>
        <w:rPr>
          <w:rStyle w:val="CharSectno"/>
        </w:rPr>
        <w:t>9</w:t>
      </w:r>
      <w:r>
        <w:t>.</w:t>
      </w:r>
      <w:r>
        <w:tab/>
        <w:t>Regulation 19 amended</w:t>
      </w:r>
      <w:bookmarkEnd w:id="514"/>
      <w:bookmarkEnd w:id="515"/>
      <w:bookmarkEnd w:id="516"/>
    </w:p>
    <w:p>
      <w:pPr>
        <w:pStyle w:val="nzSubsection"/>
      </w:pPr>
      <w:r>
        <w:tab/>
        <w:t>(1)</w:t>
      </w:r>
      <w:r>
        <w:tab/>
        <w:t>Regulation 19(2) is amended as follows:</w:t>
      </w:r>
    </w:p>
    <w:p>
      <w:pPr>
        <w:pStyle w:val="nzIndenta"/>
      </w:pPr>
      <w:r>
        <w:tab/>
        <w:t>(a)</w:t>
      </w:r>
      <w:r>
        <w:tab/>
        <w:t xml:space="preserve">in paragraph (a) by deleting “115 volts” and inserting instead — </w:t>
      </w:r>
    </w:p>
    <w:p>
      <w:pPr>
        <w:pStyle w:val="nzIndenta"/>
      </w:pPr>
      <w:r>
        <w:tab/>
      </w:r>
      <w:r>
        <w:tab/>
        <w:t>“    120 volts ripple free    ”;</w:t>
      </w:r>
    </w:p>
    <w:p>
      <w:pPr>
        <w:pStyle w:val="nzIndenta"/>
      </w:pPr>
      <w:r>
        <w:tab/>
        <w:t>(b)</w:t>
      </w:r>
      <w:r>
        <w:tab/>
        <w:t xml:space="preserve">in paragraph (c) after “carried out” by inserting — </w:t>
      </w:r>
    </w:p>
    <w:p>
      <w:pPr>
        <w:pStyle w:val="nzIndenta"/>
      </w:pPr>
      <w:r>
        <w:tab/>
      </w:r>
      <w:r>
        <w:tab/>
        <w:t>“    for, and as authorised by, a network operator    ”;</w:t>
      </w:r>
    </w:p>
    <w:p>
      <w:pPr>
        <w:pStyle w:val="nzIndenta"/>
      </w:pPr>
      <w:r>
        <w:tab/>
        <w:t>(c)</w:t>
      </w:r>
      <w:r>
        <w:tab/>
        <w:t xml:space="preserve">in paragraph (h) by deleting “250 volts unless carried out by a person for gain or reward or in the course of employment;” and inserting instead — </w:t>
      </w:r>
    </w:p>
    <w:p>
      <w:pPr>
        <w:pStyle w:val="nzIndenta"/>
      </w:pPr>
      <w:r>
        <w:tab/>
      </w:r>
      <w:r>
        <w:tab/>
        <w:t xml:space="preserve">“    </w:t>
      </w:r>
    </w:p>
    <w:p>
      <w:pPr>
        <w:pStyle w:val="nzIndenta"/>
      </w:pPr>
      <w:r>
        <w:tab/>
      </w:r>
      <w:r>
        <w:tab/>
        <w:t>1 000 volts alternating current or 1 500 volts direct current;</w:t>
      </w:r>
    </w:p>
    <w:p>
      <w:pPr>
        <w:pStyle w:val="MiscClose"/>
      </w:pPr>
      <w:r>
        <w:t xml:space="preserve">    ”;</w:t>
      </w:r>
    </w:p>
    <w:p>
      <w:pPr>
        <w:pStyle w:val="nzIndenta"/>
      </w:pPr>
      <w:r>
        <w:tab/>
        <w:t>(d)</w:t>
      </w:r>
      <w:r>
        <w:tab/>
        <w:t xml:space="preserve">in paragraph (i) by deleting ““A” grade” and inserting instead — </w:t>
      </w:r>
    </w:p>
    <w:p>
      <w:pPr>
        <w:pStyle w:val="nzIndenta"/>
      </w:pPr>
      <w:r>
        <w:tab/>
      </w:r>
      <w:r>
        <w:tab/>
        <w:t>“    electrician’s    ”;</w:t>
      </w:r>
    </w:p>
    <w:p>
      <w:pPr>
        <w:pStyle w:val="nzIndenta"/>
      </w:pPr>
      <w:r>
        <w:tab/>
        <w:t>(e)</w:t>
      </w:r>
      <w:r>
        <w:tab/>
        <w:t xml:space="preserve">in paragraph (k) by deleting “work of a specialized nature as the Director” and inserting instead — </w:t>
      </w:r>
    </w:p>
    <w:p>
      <w:pPr>
        <w:pStyle w:val="MiscOpen"/>
        <w:ind w:left="1620"/>
      </w:pPr>
      <w:r>
        <w:t xml:space="preserve">“    </w:t>
      </w:r>
    </w:p>
    <w:p>
      <w:pPr>
        <w:pStyle w:val="nzIndenta"/>
      </w:pPr>
      <w:r>
        <w:tab/>
      </w:r>
      <w:r>
        <w:tab/>
        <w:t>electrical work as the Director after consultation with the Board</w:t>
      </w:r>
    </w:p>
    <w:p>
      <w:pPr>
        <w:pStyle w:val="MiscClose"/>
      </w:pPr>
      <w:r>
        <w:t xml:space="preserve">    ”;</w:t>
      </w:r>
    </w:p>
    <w:p>
      <w:pPr>
        <w:pStyle w:val="nzIndenta"/>
      </w:pPr>
      <w:r>
        <w:tab/>
        <w:t>(f)</w:t>
      </w:r>
      <w:r>
        <w:tab/>
        <w:t xml:space="preserve">after paragraph (k) by deleting “and” and inserting instead — </w:t>
      </w:r>
    </w:p>
    <w:p>
      <w:pPr>
        <w:pStyle w:val="nzIndenta"/>
      </w:pPr>
      <w:r>
        <w:tab/>
      </w:r>
      <w:r>
        <w:tab/>
        <w:t>“    or    ”;</w:t>
      </w:r>
    </w:p>
    <w:p>
      <w:pPr>
        <w:pStyle w:val="nzIndenta"/>
      </w:pPr>
      <w:r>
        <w:tab/>
        <w:t>(g)</w:t>
      </w:r>
      <w:r>
        <w:tab/>
        <w:t xml:space="preserve">in paragraph (l) by deleting “115 volts” and inserting instead — </w:t>
      </w:r>
    </w:p>
    <w:p>
      <w:pPr>
        <w:pStyle w:val="nzIndenta"/>
      </w:pPr>
      <w:r>
        <w:tab/>
      </w:r>
      <w:r>
        <w:tab/>
        <w:t>“    120 volts ripple free    ”;</w:t>
      </w:r>
    </w:p>
    <w:p>
      <w:pPr>
        <w:pStyle w:val="nzIndenta"/>
      </w:pPr>
      <w:r>
        <w:tab/>
        <w:t>(h)</w:t>
      </w:r>
      <w:r>
        <w:tab/>
        <w:t xml:space="preserve">at the end of paragraph (l) by deleting the full stop and inserting — </w:t>
      </w:r>
    </w:p>
    <w:p>
      <w:pPr>
        <w:pStyle w:val="MiscOpen"/>
        <w:ind w:left="1332"/>
      </w:pPr>
      <w:r>
        <w:t xml:space="preserve">“    </w:t>
      </w:r>
    </w:p>
    <w:p>
      <w:pPr>
        <w:pStyle w:val="nzIndenta"/>
      </w:pPr>
      <w:r>
        <w:tab/>
      </w:r>
      <w:r>
        <w:tab/>
        <w:t>; or</w:t>
      </w:r>
    </w:p>
    <w:p>
      <w:pPr>
        <w:pStyle w:val="nzIndenta"/>
      </w:pPr>
      <w:r>
        <w:tab/>
        <w:t>(m)</w:t>
      </w:r>
      <w:r>
        <w:tab/>
        <w:t>to electrical work carried out for law enforcement purposes according to a safety management plan approved by the Director; or</w:t>
      </w:r>
    </w:p>
    <w:p>
      <w:pPr>
        <w:pStyle w:val="nzIndenta"/>
      </w:pPr>
      <w:r>
        <w:tab/>
        <w:t>(n)</w:t>
      </w:r>
      <w:r>
        <w:tab/>
        <w:t xml:space="preserve">to — </w:t>
      </w:r>
    </w:p>
    <w:p>
      <w:pPr>
        <w:pStyle w:val="nzIndenti"/>
      </w:pPr>
      <w:r>
        <w:tab/>
        <w:t>(i)</w:t>
      </w:r>
      <w:r>
        <w:tab/>
        <w:t>the detailed inspection of an electrical installation, including switchboards and equipment; or</w:t>
      </w:r>
    </w:p>
    <w:p>
      <w:pPr>
        <w:pStyle w:val="nzIndenti"/>
      </w:pPr>
      <w:r>
        <w:tab/>
        <w:t>(ii)</w:t>
      </w:r>
      <w:r>
        <w:tab/>
        <w:t>the measurement of electrical parameters (such as voltage, current or energy) at any part of an electrical installation; or</w:t>
      </w:r>
    </w:p>
    <w:p>
      <w:pPr>
        <w:pStyle w:val="nzIndenti"/>
      </w:pPr>
      <w:r>
        <w:tab/>
        <w:t>(iii)</w:t>
      </w:r>
      <w:r>
        <w:tab/>
        <w:t>the commissioning of, or the finding of faults in, an electrical installation (including any required disconnection or reconnection of electrical components and equipment),</w:t>
      </w:r>
    </w:p>
    <w:p>
      <w:pPr>
        <w:pStyle w:val="nzIndenta"/>
      </w:pPr>
      <w:r>
        <w:tab/>
      </w:r>
      <w:r>
        <w:tab/>
        <w:t>carried out by a professionally qualified electrical engineer with experience relating to electrical installing work; or</w:t>
      </w:r>
    </w:p>
    <w:p>
      <w:pPr>
        <w:pStyle w:val="nzIndenta"/>
      </w:pPr>
      <w:r>
        <w:tab/>
        <w:t>(o)</w:t>
      </w:r>
      <w:r>
        <w:tab/>
        <w:t xml:space="preserve">to the installation of a modular wiring system to be attached to, or included in, office furniture or partitioning if — </w:t>
      </w:r>
    </w:p>
    <w:p>
      <w:pPr>
        <w:pStyle w:val="nzIndenti"/>
      </w:pPr>
      <w:r>
        <w:tab/>
        <w:t>(i)</w:t>
      </w:r>
      <w:r>
        <w:tab/>
        <w:t xml:space="preserve">the system has been — </w:t>
      </w:r>
    </w:p>
    <w:p>
      <w:pPr>
        <w:pStyle w:val="nzIndentI0"/>
      </w:pPr>
      <w:r>
        <w:tab/>
        <w:t>(I)</w:t>
      </w:r>
      <w:r>
        <w:tab/>
        <w:t>approved for installation by the Director or by a person recognised by the Director to be a competent authority for the purpose of giving that approval; or</w:t>
      </w:r>
    </w:p>
    <w:p>
      <w:pPr>
        <w:pStyle w:val="nzIndentI0"/>
      </w:pPr>
      <w:r>
        <w:tab/>
        <w:t>(II)</w:t>
      </w:r>
      <w:r>
        <w:tab/>
        <w:t>certified as suitable for installation by an authority constituted under the laws of another State or a Territory with functions relating to the regulation of electrical work;</w:t>
      </w:r>
    </w:p>
    <w:p>
      <w:pPr>
        <w:pStyle w:val="nzIndenti"/>
      </w:pPr>
      <w:r>
        <w:tab/>
      </w:r>
      <w:r>
        <w:tab/>
        <w:t>and</w:t>
      </w:r>
    </w:p>
    <w:p>
      <w:pPr>
        <w:pStyle w:val="nzIndenti"/>
      </w:pPr>
      <w:r>
        <w:tab/>
        <w:t>(ii)</w:t>
      </w:r>
      <w:r>
        <w:tab/>
        <w:t>the person who carries out the installation ensures that the modular wiring system is checked and tested for safety by an electrician before the system is energised for the first time after its installation.</w:t>
      </w:r>
    </w:p>
    <w:p>
      <w:pPr>
        <w:pStyle w:val="MiscClose"/>
      </w:pPr>
      <w:r>
        <w:t xml:space="preserve">    ”;</w:t>
      </w:r>
    </w:p>
    <w:p>
      <w:pPr>
        <w:pStyle w:val="nzIndenta"/>
      </w:pPr>
      <w:r>
        <w:tab/>
        <w:t>(i)</w:t>
      </w:r>
      <w:r>
        <w:tab/>
        <w:t xml:space="preserve">after each of paragraphs (a), (b), (c), (d), (e), (f), (g), (h), (i) and (j) by inserting — </w:t>
      </w:r>
    </w:p>
    <w:p>
      <w:pPr>
        <w:pStyle w:val="nzIndenta"/>
      </w:pPr>
      <w:r>
        <w:tab/>
      </w:r>
      <w:r>
        <w:tab/>
        <w:t>“    or    ”.</w:t>
      </w:r>
    </w:p>
    <w:p>
      <w:pPr>
        <w:pStyle w:val="nzSubsection"/>
      </w:pPr>
      <w:r>
        <w:tab/>
        <w:t>(2)</w:t>
      </w:r>
      <w:r>
        <w:tab/>
        <w:t xml:space="preserve">After regulation 19(3) the following subregulation is inserted — </w:t>
      </w:r>
    </w:p>
    <w:p>
      <w:pPr>
        <w:pStyle w:val="MiscOpen"/>
        <w:ind w:left="600"/>
      </w:pPr>
      <w:r>
        <w:t xml:space="preserve">“    </w:t>
      </w:r>
    </w:p>
    <w:p>
      <w:pPr>
        <w:pStyle w:val="nzSubsection"/>
      </w:pPr>
      <w:r>
        <w:tab/>
        <w:t>(4)</w:t>
      </w:r>
      <w:r>
        <w:tab/>
        <w:t xml:space="preserve">In subregulation (2)(n) — </w:t>
      </w:r>
    </w:p>
    <w:p>
      <w:pPr>
        <w:pStyle w:val="nzDefstart"/>
      </w:pPr>
      <w:r>
        <w:rPr>
          <w:b/>
        </w:rPr>
        <w:tab/>
        <w:t>“</w:t>
      </w:r>
      <w:r>
        <w:rPr>
          <w:rStyle w:val="CharDefText"/>
        </w:rPr>
        <w:t>professionally qualified engineer</w:t>
      </w:r>
      <w:r>
        <w:rPr>
          <w:b/>
        </w:rPr>
        <w:t>”</w:t>
      </w:r>
      <w:r>
        <w:t xml:space="preserve"> means a person who — </w:t>
      </w:r>
    </w:p>
    <w:p>
      <w:pPr>
        <w:pStyle w:val="nzDefpara"/>
      </w:pPr>
      <w:r>
        <w:tab/>
        <w:t>(a)</w:t>
      </w:r>
      <w:r>
        <w:tab/>
        <w:t>holds a power electrical engineering specialisation; and</w:t>
      </w:r>
    </w:p>
    <w:p>
      <w:pPr>
        <w:pStyle w:val="nzDefpara"/>
      </w:pPr>
      <w:r>
        <w:tab/>
        <w:t>(b)</w:t>
      </w:r>
      <w:r>
        <w:tab/>
        <w:t>is, or is eligible to be, a member of the Institution of Engineers Australia otherwise than at the grade of student.</w:t>
      </w:r>
    </w:p>
    <w:p>
      <w:pPr>
        <w:pStyle w:val="MiscClose"/>
      </w:pPr>
      <w:r>
        <w:t xml:space="preserve">    ”.</w:t>
      </w:r>
    </w:p>
    <w:p>
      <w:pPr>
        <w:pStyle w:val="nzHeading5"/>
      </w:pPr>
      <w:bookmarkStart w:id="517" w:name="_Toc121624814"/>
      <w:bookmarkStart w:id="518" w:name="_Toc176064186"/>
      <w:bookmarkStart w:id="519" w:name="_Toc186854002"/>
      <w:r>
        <w:rPr>
          <w:rStyle w:val="CharSectno"/>
        </w:rPr>
        <w:t>10</w:t>
      </w:r>
      <w:r>
        <w:t>.</w:t>
      </w:r>
      <w:r>
        <w:tab/>
        <w:t>Regulation 20 amended</w:t>
      </w:r>
      <w:bookmarkEnd w:id="517"/>
      <w:bookmarkEnd w:id="518"/>
      <w:bookmarkEnd w:id="519"/>
    </w:p>
    <w:p>
      <w:pPr>
        <w:pStyle w:val="nzSubsection"/>
      </w:pPr>
      <w:r>
        <w:tab/>
        <w:t>(1)</w:t>
      </w:r>
      <w:r>
        <w:tab/>
        <w:t xml:space="preserve">Regulation 20(1) and (2) are repealed and the following subregulations are inserted instead — </w:t>
      </w:r>
    </w:p>
    <w:p>
      <w:pPr>
        <w:pStyle w:val="MiscOpen"/>
        <w:ind w:left="595"/>
      </w:pPr>
      <w:r>
        <w:t xml:space="preserve">“    </w:t>
      </w:r>
    </w:p>
    <w:p>
      <w:pPr>
        <w:pStyle w:val="nzSubsection"/>
      </w:pPr>
      <w:r>
        <w:tab/>
        <w:t>(1)</w:t>
      </w:r>
      <w:r>
        <w:tab/>
        <w:t xml:space="preserve">An electrical worker’s licence is to be endorsed, according to the qualifications of the person to whom the licence is to be issued, as — </w:t>
      </w:r>
    </w:p>
    <w:p>
      <w:pPr>
        <w:pStyle w:val="nzIndenta"/>
      </w:pPr>
      <w:r>
        <w:tab/>
        <w:t>(a)</w:t>
      </w:r>
      <w:r>
        <w:tab/>
        <w:t>an electrician’s licence; or</w:t>
      </w:r>
    </w:p>
    <w:p>
      <w:pPr>
        <w:pStyle w:val="nzIndenta"/>
      </w:pPr>
      <w:r>
        <w:tab/>
        <w:t>(b)</w:t>
      </w:r>
      <w:r>
        <w:tab/>
        <w:t>an electrician’s training licence; or</w:t>
      </w:r>
    </w:p>
    <w:p>
      <w:pPr>
        <w:pStyle w:val="nzIndenta"/>
      </w:pPr>
      <w:r>
        <w:tab/>
        <w:t>(c)</w:t>
      </w:r>
      <w:r>
        <w:tab/>
        <w:t>a restricted licence.</w:t>
      </w:r>
    </w:p>
    <w:p>
      <w:pPr>
        <w:pStyle w:val="nzSubsection"/>
      </w:pPr>
      <w:r>
        <w:tab/>
        <w:t>(2)</w:t>
      </w:r>
      <w:r>
        <w:tab/>
        <w:t>An electrical worker’s licence is subject to such restrictions and conditions, if any, as may be specified in the licence.</w:t>
      </w:r>
    </w:p>
    <w:p>
      <w:pPr>
        <w:pStyle w:val="nzSubsection"/>
      </w:pPr>
      <w:r>
        <w:tab/>
        <w:t>(2a)</w:t>
      </w:r>
      <w:r>
        <w:tab/>
        <w:t>An electrical worker’s licence endorsed as an electrician’s licence authorises the holder of the licence to carry out electrical installing work and electrical fitting work.</w:t>
      </w:r>
    </w:p>
    <w:p>
      <w:pPr>
        <w:pStyle w:val="MiscClose"/>
      </w:pPr>
      <w:r>
        <w:t xml:space="preserve">    ”.</w:t>
      </w:r>
    </w:p>
    <w:p>
      <w:pPr>
        <w:pStyle w:val="nzSubsection"/>
      </w:pPr>
      <w:r>
        <w:tab/>
        <w:t>(2)</w:t>
      </w:r>
      <w:r>
        <w:tab/>
        <w:t xml:space="preserve">Regulation 20(3)(a) is amended by deleting ““A” grade” and inserting instead — </w:t>
      </w:r>
    </w:p>
    <w:p>
      <w:pPr>
        <w:pStyle w:val="nzSubsection"/>
      </w:pPr>
      <w:r>
        <w:tab/>
      </w:r>
      <w:r>
        <w:tab/>
        <w:t>“    electrician’s    ”.</w:t>
      </w:r>
    </w:p>
    <w:p>
      <w:pPr>
        <w:pStyle w:val="nzSubsection"/>
      </w:pPr>
      <w:r>
        <w:tab/>
        <w:t>(3)</w:t>
      </w:r>
      <w:r>
        <w:tab/>
        <w:t>Regulation 20(3)(b) is amended as follows:</w:t>
      </w:r>
    </w:p>
    <w:p>
      <w:pPr>
        <w:pStyle w:val="nzIndenta"/>
      </w:pPr>
      <w:r>
        <w:tab/>
        <w:t>(a)</w:t>
      </w:r>
      <w:r>
        <w:tab/>
        <w:t xml:space="preserve">by deleting “a “C” grade” and inserting instead — </w:t>
      </w:r>
    </w:p>
    <w:p>
      <w:pPr>
        <w:pStyle w:val="nzIndenta"/>
      </w:pPr>
      <w:r>
        <w:tab/>
      </w:r>
      <w:r>
        <w:tab/>
        <w:t>“    an electrician’s training    ”;</w:t>
      </w:r>
    </w:p>
    <w:p>
      <w:pPr>
        <w:pStyle w:val="nzIndenta"/>
      </w:pPr>
      <w:r>
        <w:tab/>
        <w:t>(b)</w:t>
      </w:r>
      <w:r>
        <w:tab/>
        <w:t xml:space="preserve">by deleting ““A” grade licence of that kind.” and inserting instead — </w:t>
      </w:r>
    </w:p>
    <w:p>
      <w:pPr>
        <w:pStyle w:val="nzIndenta"/>
      </w:pPr>
      <w:r>
        <w:tab/>
      </w:r>
      <w:r>
        <w:tab/>
        <w:t>“    electrician’s licence.    ”.</w:t>
      </w:r>
    </w:p>
    <w:p>
      <w:pPr>
        <w:pStyle w:val="nzSubsection"/>
      </w:pPr>
      <w:r>
        <w:tab/>
        <w:t>(4)</w:t>
      </w:r>
      <w:r>
        <w:tab/>
        <w:t>Regulation 20(4) is amended by deleting “subject to such restrictions and conditions as are specified in the licence”.</w:t>
      </w:r>
    </w:p>
    <w:p>
      <w:pPr>
        <w:pStyle w:val="nzHeading5"/>
      </w:pPr>
      <w:bookmarkStart w:id="520" w:name="_Toc121624815"/>
      <w:bookmarkStart w:id="521" w:name="_Toc176064187"/>
      <w:bookmarkStart w:id="522" w:name="_Toc186854003"/>
      <w:r>
        <w:rPr>
          <w:rStyle w:val="CharSectno"/>
        </w:rPr>
        <w:t>11</w:t>
      </w:r>
      <w:r>
        <w:t>.</w:t>
      </w:r>
      <w:r>
        <w:tab/>
        <w:t>Regulation 22 amended</w:t>
      </w:r>
      <w:bookmarkEnd w:id="520"/>
      <w:bookmarkEnd w:id="521"/>
      <w:bookmarkEnd w:id="522"/>
    </w:p>
    <w:p>
      <w:pPr>
        <w:pStyle w:val="nzSubsection"/>
      </w:pPr>
      <w:r>
        <w:tab/>
        <w:t>(1)</w:t>
      </w:r>
      <w:r>
        <w:tab/>
        <w:t xml:space="preserve">Regulation 22(1) is amended by deleting “as “A” grade (electrical mechanic, or, electrical fitter, or both)” and inserting instead — </w:t>
      </w:r>
    </w:p>
    <w:p>
      <w:pPr>
        <w:pStyle w:val="nzSubsection"/>
      </w:pPr>
      <w:r>
        <w:tab/>
      </w:r>
      <w:r>
        <w:tab/>
        <w:t>“    as an electrician’s licence    ”.</w:t>
      </w:r>
    </w:p>
    <w:p>
      <w:pPr>
        <w:pStyle w:val="nzSubsection"/>
      </w:pPr>
      <w:r>
        <w:tab/>
        <w:t>(2)</w:t>
      </w:r>
      <w:r>
        <w:tab/>
        <w:t>Regulation 22(1)(a) is amended as follows:</w:t>
      </w:r>
    </w:p>
    <w:p>
      <w:pPr>
        <w:pStyle w:val="nzIndenta"/>
      </w:pPr>
      <w:r>
        <w:tab/>
        <w:t>(a)</w:t>
      </w:r>
      <w:r>
        <w:tab/>
        <w:t xml:space="preserve">in subparagraph (i) by deleting “in electrical installing work or electrical fitting work, as the case requires;” and inserting instead — </w:t>
      </w:r>
    </w:p>
    <w:p>
      <w:pPr>
        <w:pStyle w:val="nzIndenta"/>
      </w:pPr>
      <w:r>
        <w:tab/>
      </w:r>
      <w:r>
        <w:tab/>
        <w:t>“    approved by the Board for electricians;    ”;</w:t>
      </w:r>
    </w:p>
    <w:p>
      <w:pPr>
        <w:pStyle w:val="nzIndenta"/>
      </w:pPr>
      <w:r>
        <w:tab/>
        <w:t>(b)</w:t>
      </w:r>
      <w:r>
        <w:tab/>
        <w:t xml:space="preserve">by deleting subparagraph (ii) and inserting the following subparagraph instead — </w:t>
      </w:r>
    </w:p>
    <w:p>
      <w:pPr>
        <w:pStyle w:val="MiscOpen"/>
        <w:ind w:left="2040"/>
      </w:pPr>
      <w:r>
        <w:t xml:space="preserve">“    </w:t>
      </w:r>
    </w:p>
    <w:p>
      <w:pPr>
        <w:pStyle w:val="nz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w:t>
      </w:r>
    </w:p>
    <w:p>
      <w:pPr>
        <w:pStyle w:val="MiscClose"/>
      </w:pPr>
      <w:r>
        <w:t xml:space="preserve">    ”.</w:t>
      </w:r>
    </w:p>
    <w:p>
      <w:pPr>
        <w:pStyle w:val="nzSubsection"/>
      </w:pPr>
      <w:r>
        <w:tab/>
        <w:t>(3)</w:t>
      </w:r>
      <w:r>
        <w:tab/>
        <w:t>Regulation 22(1)(b) is amended by deleting “or electrical fitting work, as the case requires,”.</w:t>
      </w:r>
    </w:p>
    <w:p>
      <w:pPr>
        <w:pStyle w:val="nzSubsection"/>
      </w:pPr>
      <w:r>
        <w:tab/>
        <w:t>(4)</w:t>
      </w:r>
      <w:r>
        <w:tab/>
        <w:t>Regulation 22(2) is amended as follows:</w:t>
      </w:r>
    </w:p>
    <w:p>
      <w:pPr>
        <w:pStyle w:val="nzIndenta"/>
      </w:pPr>
      <w:r>
        <w:tab/>
        <w:t>(a)</w:t>
      </w:r>
      <w:r>
        <w:tab/>
        <w:t>by deleting “referred to in subregulation (1)(b) or (c)”;</w:t>
      </w:r>
    </w:p>
    <w:p>
      <w:pPr>
        <w:pStyle w:val="nzIndenta"/>
      </w:pPr>
      <w:r>
        <w:tab/>
        <w:t>(b)</w:t>
      </w:r>
      <w:r>
        <w:tab/>
        <w:t xml:space="preserve">after “examinations” by inserting — </w:t>
      </w:r>
    </w:p>
    <w:p>
      <w:pPr>
        <w:pStyle w:val="nzIndenta"/>
      </w:pPr>
      <w:r>
        <w:tab/>
      </w:r>
      <w:r>
        <w:tab/>
        <w:t>“    or other kinds of assessment    ”;</w:t>
      </w:r>
    </w:p>
    <w:p>
      <w:pPr>
        <w:pStyle w:val="nzIndenta"/>
      </w:pPr>
      <w:r>
        <w:tab/>
        <w:t>(c)</w:t>
      </w:r>
      <w:r>
        <w:tab/>
        <w:t xml:space="preserve">by deleting “each” and inserting instead — </w:t>
      </w:r>
    </w:p>
    <w:p>
      <w:pPr>
        <w:pStyle w:val="nzIndenta"/>
      </w:pPr>
      <w:r>
        <w:tab/>
      </w:r>
      <w:r>
        <w:tab/>
        <w:t>“    the    ”;</w:t>
      </w:r>
    </w:p>
    <w:p>
      <w:pPr>
        <w:pStyle w:val="nzIndenta"/>
      </w:pPr>
      <w:r>
        <w:tab/>
        <w:t>(d)</w:t>
      </w:r>
      <w:r>
        <w:tab/>
        <w:t xml:space="preserve">after “examination” by inserting — </w:t>
      </w:r>
    </w:p>
    <w:p>
      <w:pPr>
        <w:pStyle w:val="nzIndenta"/>
      </w:pPr>
      <w:r>
        <w:tab/>
      </w:r>
      <w:r>
        <w:tab/>
        <w:t>“    or assessment    ”.</w:t>
      </w:r>
    </w:p>
    <w:p>
      <w:pPr>
        <w:pStyle w:val="nzSubsection"/>
      </w:pPr>
      <w:r>
        <w:tab/>
        <w:t>(5)</w:t>
      </w:r>
      <w:r>
        <w:tab/>
        <w:t>Regulation 22(3) is amended as follows:</w:t>
      </w:r>
    </w:p>
    <w:p>
      <w:pPr>
        <w:pStyle w:val="nzIndenta"/>
      </w:pPr>
      <w:r>
        <w:tab/>
        <w:t>(a)</w:t>
      </w:r>
      <w:r>
        <w:tab/>
        <w:t xml:space="preserve">by deleting “as “C” grade” and inserting instead — </w:t>
      </w:r>
    </w:p>
    <w:p>
      <w:pPr>
        <w:pStyle w:val="nzIndenta"/>
      </w:pPr>
      <w:r>
        <w:tab/>
      </w:r>
      <w:r>
        <w:tab/>
        <w:t>“    as an electrician’s training licence    ”;</w:t>
      </w:r>
    </w:p>
    <w:p>
      <w:pPr>
        <w:pStyle w:val="nzIndenta"/>
      </w:pPr>
      <w:r>
        <w:tab/>
        <w:t>(b)</w:t>
      </w:r>
      <w:r>
        <w:tab/>
        <w:t xml:space="preserve">in paragraph (a) by deleting “in electrical installing work or electrical fitting work;” and inserting instead — </w:t>
      </w:r>
    </w:p>
    <w:p>
      <w:pPr>
        <w:pStyle w:val="nzIndenta"/>
      </w:pPr>
      <w:r>
        <w:tab/>
      </w:r>
      <w:r>
        <w:tab/>
        <w:t>“    approved by the Board for electricians;    ”;</w:t>
      </w:r>
    </w:p>
    <w:p>
      <w:pPr>
        <w:pStyle w:val="nzIndenta"/>
      </w:pPr>
      <w:r>
        <w:tab/>
        <w:t>(c)</w:t>
      </w:r>
      <w:r>
        <w:tab/>
        <w:t xml:space="preserve">in paragraph (b) by deleting “in electrical work” and inserting instead — </w:t>
      </w:r>
    </w:p>
    <w:p>
      <w:pPr>
        <w:pStyle w:val="nzIndenta"/>
      </w:pPr>
      <w:r>
        <w:tab/>
      </w:r>
      <w:r>
        <w:tab/>
        <w:t>“    for electricians    ”.</w:t>
      </w:r>
    </w:p>
    <w:p>
      <w:pPr>
        <w:pStyle w:val="nzSubsection"/>
      </w:pPr>
      <w:r>
        <w:tab/>
        <w:t>(6)</w:t>
      </w:r>
      <w:r>
        <w:tab/>
        <w:t xml:space="preserve">Regulation 22(4)(c) is amended after “written examinations” by inserting — </w:t>
      </w:r>
    </w:p>
    <w:p>
      <w:pPr>
        <w:pStyle w:val="nzSubsection"/>
      </w:pPr>
      <w:r>
        <w:tab/>
      </w:r>
      <w:r>
        <w:tab/>
        <w:t>“    or other kinds of assessment    ”.</w:t>
      </w:r>
    </w:p>
    <w:p>
      <w:pPr>
        <w:pStyle w:val="nzSubsection"/>
      </w:pPr>
      <w:r>
        <w:tab/>
        <w:t>(7)</w:t>
      </w:r>
      <w:r>
        <w:tab/>
        <w:t>Regulation 22(5) is amended as follows:</w:t>
      </w:r>
    </w:p>
    <w:p>
      <w:pPr>
        <w:pStyle w:val="nzIndenta"/>
      </w:pPr>
      <w:r>
        <w:tab/>
        <w:t>(a)</w:t>
      </w:r>
      <w:r>
        <w:tab/>
        <w:t xml:space="preserve">after “examination” in the first place where it occurs by inserting — </w:t>
      </w:r>
    </w:p>
    <w:p>
      <w:pPr>
        <w:pStyle w:val="nzIndenta"/>
      </w:pPr>
      <w:r>
        <w:tab/>
      </w:r>
      <w:r>
        <w:tab/>
        <w:t>“    or other kind of assessment    ”;</w:t>
      </w:r>
    </w:p>
    <w:p>
      <w:pPr>
        <w:pStyle w:val="nzIndenta"/>
      </w:pPr>
      <w:r>
        <w:tab/>
        <w:t>(b)</w:t>
      </w:r>
      <w:r>
        <w:tab/>
        <w:t xml:space="preserve">after “such examination” by inserting — </w:t>
      </w:r>
    </w:p>
    <w:p>
      <w:pPr>
        <w:pStyle w:val="nzIndenta"/>
      </w:pPr>
      <w:r>
        <w:tab/>
      </w:r>
      <w:r>
        <w:tab/>
        <w:t>“    or assessment    ”;</w:t>
      </w:r>
    </w:p>
    <w:p>
      <w:pPr>
        <w:pStyle w:val="nzIndenta"/>
      </w:pPr>
      <w:r>
        <w:tab/>
        <w:t>(c)</w:t>
      </w:r>
      <w:r>
        <w:tab/>
        <w:t xml:space="preserve">in paragraphs (a) and (b) after “examination” by inserting — </w:t>
      </w:r>
    </w:p>
    <w:p>
      <w:pPr>
        <w:pStyle w:val="nzIndenta"/>
      </w:pPr>
      <w:r>
        <w:tab/>
      </w:r>
      <w:r>
        <w:tab/>
        <w:t>“    or other kind of assessment    ”.</w:t>
      </w:r>
    </w:p>
    <w:p>
      <w:pPr>
        <w:pStyle w:val="nzSubsection"/>
      </w:pPr>
      <w:r>
        <w:tab/>
        <w:t>(8)</w:t>
      </w:r>
      <w:r>
        <w:tab/>
        <w:t>Regulation 22(6) is amended by deleting “</w:t>
      </w:r>
      <w:r>
        <w:rPr>
          <w:i/>
          <w:iCs/>
        </w:rPr>
        <w:t>Industrial Training Act 1975</w:t>
      </w:r>
      <w:r>
        <w:t xml:space="preserve">” and inserting instead — </w:t>
      </w:r>
    </w:p>
    <w:p>
      <w:pPr>
        <w:pStyle w:val="nzSubsection"/>
      </w:pPr>
      <w:r>
        <w:tab/>
      </w:r>
      <w:r>
        <w:tab/>
        <w:t xml:space="preserve">“    </w:t>
      </w:r>
      <w:r>
        <w:rPr>
          <w:i/>
          <w:iCs/>
        </w:rPr>
        <w:t>Vocational Education and Training Act 1996</w:t>
      </w:r>
      <w:r>
        <w:t xml:space="preserve">    ”.</w:t>
      </w:r>
    </w:p>
    <w:p>
      <w:pPr>
        <w:pStyle w:val="nzHeading5"/>
      </w:pPr>
      <w:bookmarkStart w:id="523" w:name="_Toc121624816"/>
      <w:bookmarkStart w:id="524" w:name="_Toc176064188"/>
      <w:bookmarkStart w:id="525" w:name="_Toc186854004"/>
      <w:r>
        <w:rPr>
          <w:rStyle w:val="CharSectno"/>
        </w:rPr>
        <w:t>12</w:t>
      </w:r>
      <w:r>
        <w:t>.</w:t>
      </w:r>
      <w:r>
        <w:tab/>
        <w:t>Regulation 23 amended</w:t>
      </w:r>
      <w:bookmarkEnd w:id="523"/>
      <w:bookmarkEnd w:id="524"/>
      <w:bookmarkEnd w:id="525"/>
    </w:p>
    <w:p>
      <w:pPr>
        <w:pStyle w:val="nzSubsection"/>
      </w:pPr>
      <w:r>
        <w:tab/>
        <w:t>(1)</w:t>
      </w:r>
      <w:r>
        <w:tab/>
        <w:t>Regulation 23(1) is amended by deleting “or the renewal of the registration of a licence holder or permit holder, as the case may be,”.</w:t>
      </w:r>
    </w:p>
    <w:p>
      <w:pPr>
        <w:pStyle w:val="nzSubsection"/>
      </w:pPr>
      <w:r>
        <w:tab/>
        <w:t>(2)</w:t>
      </w:r>
      <w:r>
        <w:tab/>
        <w:t xml:space="preserve">After regulation 23(1) the following subregulations are inserted — </w:t>
      </w:r>
    </w:p>
    <w:p>
      <w:pPr>
        <w:pStyle w:val="MiscOpen"/>
        <w:ind w:left="595"/>
      </w:pPr>
      <w:r>
        <w:t xml:space="preserve">“    </w:t>
      </w:r>
    </w:p>
    <w:p>
      <w:pPr>
        <w:pStyle w:val="nzSubsection"/>
      </w:pPr>
      <w:r>
        <w:tab/>
        <w:t>(1a)</w:t>
      </w:r>
      <w:r>
        <w:tab/>
        <w:t>Despite subregulation (1), the fee for an application for a permit to be issued under regulation 24(3) is the amount determined by the Director having regard to the cost of processing the application.</w:t>
      </w:r>
    </w:p>
    <w:p>
      <w:pPr>
        <w:pStyle w:val="nzSubsection"/>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MiscClose"/>
      </w:pPr>
      <w:r>
        <w:t xml:space="preserve">    ”.</w:t>
      </w:r>
    </w:p>
    <w:p>
      <w:pPr>
        <w:pStyle w:val="nzHeading5"/>
      </w:pPr>
      <w:bookmarkStart w:id="526" w:name="_Toc121624817"/>
      <w:bookmarkStart w:id="527" w:name="_Toc176064189"/>
      <w:bookmarkStart w:id="528" w:name="_Toc186854005"/>
      <w:r>
        <w:rPr>
          <w:rStyle w:val="CharSectno"/>
        </w:rPr>
        <w:t>13</w:t>
      </w:r>
      <w:r>
        <w:t>.</w:t>
      </w:r>
      <w:r>
        <w:tab/>
        <w:t>Regulation 24 amended</w:t>
      </w:r>
      <w:bookmarkEnd w:id="526"/>
      <w:bookmarkEnd w:id="527"/>
      <w:bookmarkEnd w:id="528"/>
    </w:p>
    <w:p>
      <w:pPr>
        <w:pStyle w:val="nzSubsection"/>
      </w:pPr>
      <w:r>
        <w:tab/>
        <w:t>(1)</w:t>
      </w:r>
      <w:r>
        <w:tab/>
        <w:t xml:space="preserve">Regulation 24(1) is amended by deleting “Board may — ” and inserting instead — </w:t>
      </w:r>
    </w:p>
    <w:p>
      <w:pPr>
        <w:pStyle w:val="nzSubsection"/>
      </w:pPr>
      <w:r>
        <w:tab/>
      </w:r>
      <w:r>
        <w:tab/>
        <w:t>“    Board is to —     ”.</w:t>
      </w:r>
    </w:p>
    <w:p>
      <w:pPr>
        <w:pStyle w:val="nzSubsection"/>
      </w:pPr>
      <w:r>
        <w:tab/>
        <w:t>(2)</w:t>
      </w:r>
      <w:r>
        <w:tab/>
        <w:t>Regulation 24(3) is amended by deleting “, and may endorse the permit with such conditions as it deems necessary”.</w:t>
      </w:r>
    </w:p>
    <w:p>
      <w:pPr>
        <w:pStyle w:val="nzSubsection"/>
      </w:pPr>
      <w:r>
        <w:tab/>
        <w:t>(3)</w:t>
      </w:r>
      <w:r>
        <w:tab/>
        <w:t xml:space="preserve">After regulation 24(4) the following subregulation is inserted — </w:t>
      </w:r>
    </w:p>
    <w:p>
      <w:pPr>
        <w:pStyle w:val="MiscOpen"/>
        <w:ind w:left="600"/>
      </w:pPr>
      <w:r>
        <w:t xml:space="preserve">“    </w:t>
      </w:r>
    </w:p>
    <w:p>
      <w:pPr>
        <w:pStyle w:val="nzSubsection"/>
      </w:pPr>
      <w:r>
        <w:tab/>
        <w:t>(5)</w:t>
      </w:r>
      <w:r>
        <w:tab/>
        <w:t xml:space="preserve">If the Board decides — </w:t>
      </w:r>
    </w:p>
    <w:p>
      <w:pPr>
        <w:pStyle w:val="nzIndenta"/>
      </w:pPr>
      <w:r>
        <w:tab/>
        <w:t>(a)</w:t>
      </w:r>
      <w:r>
        <w:tab/>
        <w:t>to refuse to issue a licence or permit; or</w:t>
      </w:r>
    </w:p>
    <w:p>
      <w:pPr>
        <w:pStyle w:val="nzIndenta"/>
      </w:pPr>
      <w:r>
        <w:tab/>
        <w:t>(b)</w:t>
      </w:r>
      <w:r>
        <w:tab/>
        <w:t>to issue a licence or permit subject to any restriction or condition,</w:t>
      </w:r>
    </w:p>
    <w:p>
      <w:pPr>
        <w:pStyle w:val="nzSubsection"/>
      </w:pPr>
      <w:r>
        <w:tab/>
      </w:r>
      <w:r>
        <w:tab/>
        <w:t>the Board is to give the decision, and the reasons for the decision, in writing to the applicant or to the licence holder or permit holder, as the case requires.</w:t>
      </w:r>
    </w:p>
    <w:p>
      <w:pPr>
        <w:pStyle w:val="MiscClose"/>
      </w:pPr>
      <w:r>
        <w:t xml:space="preserve">    ”.</w:t>
      </w:r>
    </w:p>
    <w:p>
      <w:pPr>
        <w:pStyle w:val="nzHeading5"/>
      </w:pPr>
      <w:bookmarkStart w:id="529" w:name="_Toc176064190"/>
      <w:bookmarkStart w:id="530" w:name="_Toc186854006"/>
      <w:r>
        <w:rPr>
          <w:rStyle w:val="CharSectno"/>
        </w:rPr>
        <w:t>14</w:t>
      </w:r>
      <w:r>
        <w:t>.</w:t>
      </w:r>
      <w:r>
        <w:tab/>
        <w:t>Regulation 25 amended</w:t>
      </w:r>
      <w:bookmarkEnd w:id="529"/>
      <w:bookmarkEnd w:id="530"/>
    </w:p>
    <w:p>
      <w:pPr>
        <w:pStyle w:val="nzSubsection"/>
      </w:pPr>
      <w:r>
        <w:tab/>
        <w:t>(1)</w:t>
      </w:r>
      <w:r>
        <w:tab/>
        <w:t>Regulation 25(1) is amended as follows:</w:t>
      </w:r>
    </w:p>
    <w:p>
      <w:pPr>
        <w:pStyle w:val="nzIndenta"/>
      </w:pPr>
      <w:r>
        <w:tab/>
        <w:t>(a)</w:t>
      </w:r>
      <w:r>
        <w:tab/>
        <w:t xml:space="preserve">by deleting “New Zealand” in the first place where it occurs and inserting instead — </w:t>
      </w:r>
    </w:p>
    <w:p>
      <w:pPr>
        <w:pStyle w:val="nzIndenta"/>
      </w:pPr>
      <w:r>
        <w:tab/>
      </w:r>
      <w:r>
        <w:tab/>
        <w:t>“    another country    ”;</w:t>
      </w:r>
    </w:p>
    <w:p>
      <w:pPr>
        <w:pStyle w:val="nzIndenta"/>
      </w:pPr>
      <w:r>
        <w:tab/>
        <w:t>(b)</w:t>
      </w:r>
      <w:r>
        <w:tab/>
        <w:t xml:space="preserve">by deleting “of New Zealand.” and inserting instead — </w:t>
      </w:r>
    </w:p>
    <w:p>
      <w:pPr>
        <w:pStyle w:val="nzIndenta"/>
      </w:pPr>
      <w:r>
        <w:tab/>
      </w:r>
      <w:r>
        <w:tab/>
        <w:t>“    country.    ”.</w:t>
      </w:r>
    </w:p>
    <w:p>
      <w:pPr>
        <w:pStyle w:val="nzSubsection"/>
      </w:pPr>
      <w:r>
        <w:tab/>
        <w:t>(2)</w:t>
      </w:r>
      <w:r>
        <w:tab/>
        <w:t xml:space="preserve">Regulation 25(2) is amended by deleting “applicant a corresponding licence.” and inserting instead — </w:t>
      </w:r>
    </w:p>
    <w:p>
      <w:pPr>
        <w:pStyle w:val="MiscOpen"/>
        <w:ind w:left="880"/>
      </w:pPr>
      <w:r>
        <w:t xml:space="preserve">“    </w:t>
      </w:r>
    </w:p>
    <w:p>
      <w:pPr>
        <w:pStyle w:val="nzSubsection"/>
      </w:pPr>
      <w:r>
        <w:tab/>
      </w:r>
      <w:r>
        <w:tab/>
        <w:t xml:space="preserve">applicant — </w:t>
      </w:r>
    </w:p>
    <w:p>
      <w:pPr>
        <w:pStyle w:val="nzIndenta"/>
      </w:pPr>
      <w:r>
        <w:tab/>
        <w:t>(a)</w:t>
      </w:r>
      <w:r>
        <w:tab/>
        <w:t>a corresponding licence; or</w:t>
      </w:r>
    </w:p>
    <w:p>
      <w:pPr>
        <w:pStyle w:val="nzIndenta"/>
      </w:pPr>
      <w:r>
        <w:tab/>
        <w:t>(b)</w:t>
      </w:r>
      <w:r>
        <w:tab/>
        <w:t>if the Board is not satisfied that the person is suitably qualified or experienced to be issued with a licence — a permit that is subject to the conditions and restrictions that the Board considers appropriate.</w:t>
      </w:r>
    </w:p>
    <w:p>
      <w:pPr>
        <w:pStyle w:val="MiscClose"/>
      </w:pPr>
      <w:r>
        <w:t xml:space="preserve">    ”.</w:t>
      </w:r>
    </w:p>
    <w:p>
      <w:pPr>
        <w:pStyle w:val="nzHeading5"/>
      </w:pPr>
      <w:bookmarkStart w:id="531" w:name="_Toc121624818"/>
      <w:bookmarkStart w:id="532" w:name="_Toc176064191"/>
      <w:bookmarkStart w:id="533" w:name="_Toc186854007"/>
      <w:r>
        <w:rPr>
          <w:rStyle w:val="CharSectno"/>
        </w:rPr>
        <w:t>15</w:t>
      </w:r>
      <w:r>
        <w:t>.</w:t>
      </w:r>
      <w:r>
        <w:tab/>
        <w:t>Regulation 26 amended</w:t>
      </w:r>
      <w:bookmarkEnd w:id="531"/>
      <w:bookmarkEnd w:id="532"/>
      <w:bookmarkEnd w:id="533"/>
    </w:p>
    <w:p>
      <w:pPr>
        <w:pStyle w:val="nzSubsection"/>
      </w:pPr>
      <w:r>
        <w:tab/>
        <w:t>(1)</w:t>
      </w:r>
      <w:r>
        <w:tab/>
        <w:t>Regulation 26(1) is amended as follows:</w:t>
      </w:r>
    </w:p>
    <w:p>
      <w:pPr>
        <w:pStyle w:val="nzIndenta"/>
      </w:pPr>
      <w:r>
        <w:tab/>
        <w:t>(a)</w:t>
      </w:r>
      <w:r>
        <w:tab/>
        <w:t xml:space="preserve">by deleting “a “C” grade” and inserting instead — </w:t>
      </w:r>
    </w:p>
    <w:p>
      <w:pPr>
        <w:pStyle w:val="nzIndenta"/>
      </w:pPr>
      <w:r>
        <w:tab/>
      </w:r>
      <w:r>
        <w:tab/>
        <w:t>“    an electrician’s training    ”;</w:t>
      </w:r>
    </w:p>
    <w:p>
      <w:pPr>
        <w:pStyle w:val="nzIndenta"/>
      </w:pPr>
      <w:r>
        <w:tab/>
        <w:t>(b)</w:t>
      </w:r>
      <w:r>
        <w:tab/>
        <w:t xml:space="preserve">by deleting “unless” and inserting instead — </w:t>
      </w:r>
    </w:p>
    <w:p>
      <w:pPr>
        <w:pStyle w:val="MiscOpen"/>
        <w:ind w:left="879"/>
      </w:pPr>
      <w:r>
        <w:t xml:space="preserve">“    </w:t>
      </w:r>
    </w:p>
    <w:p>
      <w:pPr>
        <w:pStyle w:val="nzSubsection"/>
      </w:pPr>
      <w:r>
        <w:tab/>
      </w:r>
      <w:r>
        <w:tab/>
        <w:t xml:space="preserve">or its registration was last renewed for the period, not exceeding 5 years, specified in the certificate of registration unless the licence is </w:t>
      </w:r>
    </w:p>
    <w:p>
      <w:pPr>
        <w:pStyle w:val="MiscClose"/>
      </w:pPr>
      <w:r>
        <w:t xml:space="preserve">    ”.</w:t>
      </w:r>
    </w:p>
    <w:p>
      <w:pPr>
        <w:pStyle w:val="nzSubsection"/>
      </w:pPr>
      <w:r>
        <w:tab/>
        <w:t>(2)</w:t>
      </w:r>
      <w:r>
        <w:tab/>
        <w:t xml:space="preserve">Regulation 26(2) is repealed and the following subregulation is inserted instead — </w:t>
      </w:r>
    </w:p>
    <w:p>
      <w:pPr>
        <w:pStyle w:val="MiscOpen"/>
        <w:ind w:left="595"/>
      </w:pPr>
      <w:r>
        <w:t xml:space="preserve">“    </w:t>
      </w:r>
    </w:p>
    <w:p>
      <w:pPr>
        <w:pStyle w:val="nz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nzIndenta"/>
      </w:pPr>
      <w:r>
        <w:tab/>
        <w:t>(a)</w:t>
      </w:r>
      <w:r>
        <w:tab/>
        <w:t>the person is granted an electrician’s licence; or</w:t>
      </w:r>
    </w:p>
    <w:p>
      <w:pPr>
        <w:pStyle w:val="nzIndenta"/>
      </w:pPr>
      <w:r>
        <w:tab/>
        <w:t>(b)</w:t>
      </w:r>
      <w:r>
        <w:tab/>
        <w:t>the period of 3 months expires from the time that the apprenticeship or course of training was completed,</w:t>
      </w:r>
    </w:p>
    <w:p>
      <w:pPr>
        <w:pStyle w:val="nzSubsection"/>
      </w:pPr>
      <w:r>
        <w:tab/>
      </w:r>
      <w:r>
        <w:tab/>
        <w:t>whichever occurs first.</w:t>
      </w:r>
    </w:p>
    <w:p>
      <w:pPr>
        <w:pStyle w:val="MiscClose"/>
      </w:pPr>
      <w:r>
        <w:t xml:space="preserve">    ”.</w:t>
      </w:r>
    </w:p>
    <w:p>
      <w:pPr>
        <w:pStyle w:val="nzSubsection"/>
      </w:pPr>
      <w:r>
        <w:tab/>
        <w:t>(3)</w:t>
      </w:r>
      <w:r>
        <w:tab/>
        <w:t>Regulation 26(3) is amended by deleting “, being not longer than one year,”.</w:t>
      </w:r>
    </w:p>
    <w:p>
      <w:pPr>
        <w:pStyle w:val="nzHeading5"/>
      </w:pPr>
      <w:bookmarkStart w:id="534" w:name="_Toc121624819"/>
      <w:bookmarkStart w:id="535" w:name="_Toc176064192"/>
      <w:bookmarkStart w:id="536" w:name="_Toc186854008"/>
      <w:r>
        <w:rPr>
          <w:rStyle w:val="CharSectno"/>
        </w:rPr>
        <w:t>16</w:t>
      </w:r>
      <w:r>
        <w:t>.</w:t>
      </w:r>
      <w:r>
        <w:tab/>
        <w:t>Regulation 27 amended</w:t>
      </w:r>
      <w:bookmarkEnd w:id="534"/>
      <w:bookmarkEnd w:id="535"/>
      <w:bookmarkEnd w:id="536"/>
    </w:p>
    <w:p>
      <w:pPr>
        <w:pStyle w:val="nzSubsection"/>
      </w:pPr>
      <w:r>
        <w:tab/>
        <w:t>(1)</w:t>
      </w:r>
      <w:r>
        <w:tab/>
        <w:t>Regulation 27(1) is amended as follows:</w:t>
      </w:r>
    </w:p>
    <w:p>
      <w:pPr>
        <w:pStyle w:val="nzIndenta"/>
      </w:pPr>
      <w:r>
        <w:tab/>
        <w:t>(a)</w:t>
      </w:r>
      <w:r>
        <w:tab/>
        <w:t xml:space="preserve">by deleting “a “C” grade” and inserting instead — </w:t>
      </w:r>
    </w:p>
    <w:p>
      <w:pPr>
        <w:pStyle w:val="nzIndenta"/>
      </w:pPr>
      <w:r>
        <w:tab/>
      </w:r>
      <w:r>
        <w:tab/>
        <w:t>“    an electrician’s training    ”;</w:t>
      </w:r>
    </w:p>
    <w:p>
      <w:pPr>
        <w:pStyle w:val="nzIndenta"/>
      </w:pPr>
      <w:r>
        <w:tab/>
        <w:t>(b)</w:t>
      </w:r>
      <w:r>
        <w:tab/>
        <w:t xml:space="preserve">by deleting “shall cause” and inserting instead — </w:t>
      </w:r>
    </w:p>
    <w:p>
      <w:pPr>
        <w:pStyle w:val="nzIndenta"/>
      </w:pPr>
      <w:r>
        <w:tab/>
      </w:r>
      <w:r>
        <w:tab/>
        <w:t>“    is to register the licence by causing    ”.</w:t>
      </w:r>
    </w:p>
    <w:p>
      <w:pPr>
        <w:pStyle w:val="nzSubsection"/>
      </w:pPr>
      <w:r>
        <w:tab/>
        <w:t>(2)</w:t>
      </w:r>
      <w:r>
        <w:tab/>
        <w:t xml:space="preserve">Regulation 27(2) and (3) are repealed and the following subregulations are inserted instead — </w:t>
      </w:r>
    </w:p>
    <w:p>
      <w:pPr>
        <w:pStyle w:val="MiscOpen"/>
        <w:ind w:left="595"/>
      </w:pPr>
      <w:r>
        <w:t xml:space="preserve">“    </w:t>
      </w:r>
    </w:p>
    <w:p>
      <w:pPr>
        <w:pStyle w:val="nzSubsection"/>
      </w:pPr>
      <w:r>
        <w:tab/>
        <w:t>(2)</w:t>
      </w:r>
      <w:r>
        <w:tab/>
        <w:t>The Board may renew the registration of a licence on an application made not earlier than 90 days before, and not later than 30 days after, the date of the expiry of the registration.</w:t>
      </w:r>
    </w:p>
    <w:p>
      <w:pPr>
        <w:pStyle w:val="nzSubsection"/>
      </w:pPr>
      <w:r>
        <w:tab/>
        <w:t>(3)</w:t>
      </w:r>
      <w:r>
        <w:tab/>
        <w:t>An application is made under subregulation (2) by submitting to the executive officer, together with the appropriate fee set out in the Schedule, the form, duly completed, made available by the Director.</w:t>
      </w:r>
    </w:p>
    <w:p>
      <w:pPr>
        <w:pStyle w:val="nz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MiscClose"/>
      </w:pPr>
      <w:r>
        <w:t xml:space="preserve">    ”.</w:t>
      </w:r>
    </w:p>
    <w:p>
      <w:pPr>
        <w:pStyle w:val="nzSubsection"/>
      </w:pPr>
      <w:r>
        <w:tab/>
        <w:t>(3)</w:t>
      </w:r>
      <w:r>
        <w:tab/>
        <w:t xml:space="preserve">Regulation 27(4) is amended by deleting “Where the registration of a licence holder is renewed under subregulation (3),” and inserting instead — </w:t>
      </w:r>
    </w:p>
    <w:p>
      <w:pPr>
        <w:pStyle w:val="MiscOpen"/>
        <w:ind w:left="880"/>
      </w:pPr>
      <w:r>
        <w:t xml:space="preserve">“    </w:t>
      </w:r>
    </w:p>
    <w:p>
      <w:pPr>
        <w:pStyle w:val="nzSubsection"/>
      </w:pPr>
      <w:r>
        <w:tab/>
      </w:r>
      <w:r>
        <w:tab/>
        <w:t>Subject to subregulation (5), if the registration of a licence is renewed under subregulation (2),</w:t>
      </w:r>
    </w:p>
    <w:p>
      <w:pPr>
        <w:pStyle w:val="MiscClose"/>
      </w:pPr>
      <w:r>
        <w:t xml:space="preserve">    ”.</w:t>
      </w:r>
    </w:p>
    <w:p>
      <w:pPr>
        <w:pStyle w:val="nzSubsection"/>
      </w:pPr>
      <w:r>
        <w:tab/>
        <w:t>(4)</w:t>
      </w:r>
      <w:r>
        <w:tab/>
        <w:t xml:space="preserve">Regulation 27(5) is amended by deleting “holder is renewed under subregulation (3)” and inserting instead — </w:t>
      </w:r>
    </w:p>
    <w:p>
      <w:pPr>
        <w:pStyle w:val="nzSubsection"/>
      </w:pPr>
      <w:r>
        <w:tab/>
      </w:r>
      <w:r>
        <w:tab/>
        <w:t>“    is renewed under subregulation (2)    ”.</w:t>
      </w:r>
    </w:p>
    <w:p>
      <w:pPr>
        <w:pStyle w:val="nzHeading5"/>
      </w:pPr>
      <w:bookmarkStart w:id="537" w:name="_Toc121624820"/>
      <w:bookmarkStart w:id="538" w:name="_Toc176064193"/>
      <w:bookmarkStart w:id="539" w:name="_Toc186854009"/>
      <w:r>
        <w:rPr>
          <w:rStyle w:val="CharSectno"/>
        </w:rPr>
        <w:t>17</w:t>
      </w:r>
      <w:r>
        <w:t>.</w:t>
      </w:r>
      <w:r>
        <w:tab/>
        <w:t>Regulation 28 amended</w:t>
      </w:r>
      <w:bookmarkEnd w:id="537"/>
      <w:bookmarkEnd w:id="538"/>
      <w:bookmarkEnd w:id="539"/>
    </w:p>
    <w:p>
      <w:pPr>
        <w:pStyle w:val="nzSubsection"/>
      </w:pPr>
      <w:r>
        <w:tab/>
        <w:t>(1)</w:t>
      </w:r>
      <w:r>
        <w:tab/>
        <w:t>Regulation 28(1) is amended by deleting “written” in both places where it occurs.</w:t>
      </w:r>
    </w:p>
    <w:p>
      <w:pPr>
        <w:pStyle w:val="nzSubsection"/>
      </w:pPr>
      <w:r>
        <w:tab/>
        <w:t>(2)</w:t>
      </w:r>
      <w:r>
        <w:tab/>
        <w:t xml:space="preserve">After regulation 28(1) the following subregulation is inserted — </w:t>
      </w:r>
    </w:p>
    <w:p>
      <w:pPr>
        <w:pStyle w:val="MiscOpen"/>
        <w:ind w:left="595"/>
      </w:pPr>
      <w:r>
        <w:t xml:space="preserve">“    </w:t>
      </w:r>
    </w:p>
    <w:p>
      <w:pPr>
        <w:pStyle w:val="nzSubsection"/>
      </w:pPr>
      <w:r>
        <w:tab/>
        <w:t>(1a)</w:t>
      </w:r>
      <w:r>
        <w:tab/>
        <w:t>Notice under subregulation (1) may be given in writing, by facsimile transmission, by telephone or by a means of electronic communication approved by the Board.</w:t>
      </w:r>
    </w:p>
    <w:p>
      <w:pPr>
        <w:pStyle w:val="MiscClose"/>
      </w:pPr>
      <w:r>
        <w:t xml:space="preserve">    ”.</w:t>
      </w:r>
    </w:p>
    <w:p>
      <w:pPr>
        <w:pStyle w:val="nzHeading5"/>
      </w:pPr>
      <w:bookmarkStart w:id="540" w:name="_Toc121624821"/>
      <w:bookmarkStart w:id="541" w:name="_Toc176064194"/>
      <w:bookmarkStart w:id="542" w:name="_Toc186854010"/>
      <w:r>
        <w:rPr>
          <w:rStyle w:val="CharSectno"/>
        </w:rPr>
        <w:t>18</w:t>
      </w:r>
      <w:r>
        <w:t>.</w:t>
      </w:r>
      <w:r>
        <w:tab/>
        <w:t>Regulation 29 amended</w:t>
      </w:r>
      <w:bookmarkEnd w:id="540"/>
      <w:bookmarkEnd w:id="541"/>
      <w:bookmarkEnd w:id="542"/>
    </w:p>
    <w:p>
      <w:pPr>
        <w:pStyle w:val="nzSubsection"/>
      </w:pPr>
      <w:r>
        <w:tab/>
        <w:t>(1)</w:t>
      </w:r>
      <w:r>
        <w:tab/>
        <w:t xml:space="preserve">Regulation 29(2) is amended after “practical” by inserting — </w:t>
      </w:r>
    </w:p>
    <w:p>
      <w:pPr>
        <w:pStyle w:val="nzSubsection"/>
      </w:pPr>
      <w:r>
        <w:tab/>
      </w:r>
      <w:r>
        <w:tab/>
        <w:t>“    assessment,    ”.</w:t>
      </w:r>
    </w:p>
    <w:p>
      <w:pPr>
        <w:pStyle w:val="nzSubsection"/>
      </w:pPr>
      <w:r>
        <w:tab/>
        <w:t>(2)</w:t>
      </w:r>
      <w:r>
        <w:tab/>
        <w:t>Regulation 29(3) is amended as follows:</w:t>
      </w:r>
    </w:p>
    <w:p>
      <w:pPr>
        <w:pStyle w:val="nzIndenta"/>
      </w:pPr>
      <w:r>
        <w:tab/>
        <w:t>(a)</w:t>
      </w:r>
      <w:r>
        <w:tab/>
        <w:t xml:space="preserve">before “examination or test” in each place where it occurs by inserting — </w:t>
      </w:r>
    </w:p>
    <w:p>
      <w:pPr>
        <w:pStyle w:val="nzIndenta"/>
      </w:pPr>
      <w:r>
        <w:tab/>
      </w:r>
      <w:r>
        <w:tab/>
        <w:t>“    assessment,    ”;</w:t>
      </w:r>
    </w:p>
    <w:p>
      <w:pPr>
        <w:pStyle w:val="nzIndenta"/>
      </w:pPr>
      <w:r>
        <w:tab/>
        <w:t>(b)</w:t>
      </w:r>
      <w:r>
        <w:tab/>
        <w:t xml:space="preserve">in paragraph (d) after “renew” by inserting — </w:t>
      </w:r>
    </w:p>
    <w:p>
      <w:pPr>
        <w:pStyle w:val="nzIndenta"/>
      </w:pPr>
      <w:r>
        <w:tab/>
      </w:r>
      <w:r>
        <w:tab/>
        <w:t>“    the registration of    ”;</w:t>
      </w:r>
    </w:p>
    <w:p>
      <w:pPr>
        <w:pStyle w:val="nzIndenta"/>
      </w:pPr>
      <w:r>
        <w:tab/>
        <w:t>(c)</w:t>
      </w:r>
      <w:r>
        <w:tab/>
        <w:t xml:space="preserve">by deleting paragraph (e) and inserting the following paragraph instead — </w:t>
      </w:r>
    </w:p>
    <w:p>
      <w:pPr>
        <w:pStyle w:val="MiscOpen"/>
        <w:ind w:left="1340"/>
      </w:pPr>
      <w:r>
        <w:t xml:space="preserve">“    </w:t>
      </w:r>
    </w:p>
    <w:p>
      <w:pPr>
        <w:pStyle w:val="nzIndenta"/>
      </w:pPr>
      <w:r>
        <w:tab/>
        <w:t>(e)</w:t>
      </w:r>
      <w:r>
        <w:tab/>
        <w:t>make an order suspending or cancelling,</w:t>
      </w:r>
    </w:p>
    <w:p>
      <w:pPr>
        <w:pStyle w:val="MiscClose"/>
      </w:pPr>
      <w:r>
        <w:t xml:space="preserve">    ”;</w:t>
      </w:r>
    </w:p>
    <w:p>
      <w:pPr>
        <w:pStyle w:val="nzIndenta"/>
      </w:pPr>
      <w:r>
        <w:tab/>
        <w:t>(d)</w:t>
      </w:r>
      <w:r>
        <w:tab/>
        <w:t xml:space="preserve">after paragraph (a) by inserting — </w:t>
      </w:r>
    </w:p>
    <w:p>
      <w:pPr>
        <w:pStyle w:val="nzIndenta"/>
      </w:pPr>
      <w:r>
        <w:tab/>
      </w:r>
      <w:r>
        <w:tab/>
        <w:t>“    or    ”.</w:t>
      </w:r>
    </w:p>
    <w:p>
      <w:pPr>
        <w:pStyle w:val="nzSubsection"/>
      </w:pPr>
      <w:r>
        <w:tab/>
        <w:t>(3)</w:t>
      </w:r>
      <w:r>
        <w:tab/>
        <w:t xml:space="preserve">After regulation 29(3) the following subregulation is inserted — </w:t>
      </w:r>
    </w:p>
    <w:p>
      <w:pPr>
        <w:pStyle w:val="MiscOpen"/>
        <w:ind w:left="595"/>
      </w:pPr>
      <w:r>
        <w:t xml:space="preserve">“    </w:t>
      </w:r>
    </w:p>
    <w:p>
      <w:pPr>
        <w:pStyle w:val="nzSubsection"/>
      </w:pPr>
      <w:r>
        <w:tab/>
        <w:t>(4)</w:t>
      </w:r>
      <w:r>
        <w:tab/>
        <w:t>An order made by the Board under subregulation (3)(e) is to be in writing and a copy of the order given to the person against whom it is made.</w:t>
      </w:r>
    </w:p>
    <w:p>
      <w:pPr>
        <w:pStyle w:val="MiscClose"/>
      </w:pPr>
      <w:r>
        <w:t xml:space="preserve">    ”.</w:t>
      </w:r>
    </w:p>
    <w:p>
      <w:pPr>
        <w:pStyle w:val="nzHeading5"/>
      </w:pPr>
      <w:bookmarkStart w:id="543" w:name="_Toc121624822"/>
      <w:bookmarkStart w:id="544" w:name="_Toc176064195"/>
      <w:bookmarkStart w:id="545" w:name="_Toc186854011"/>
      <w:r>
        <w:rPr>
          <w:rStyle w:val="CharSectno"/>
        </w:rPr>
        <w:t>19</w:t>
      </w:r>
      <w:r>
        <w:t>.</w:t>
      </w:r>
      <w:r>
        <w:tab/>
        <w:t>Regulation 30 amended</w:t>
      </w:r>
      <w:bookmarkEnd w:id="543"/>
      <w:bookmarkEnd w:id="544"/>
      <w:bookmarkEnd w:id="545"/>
    </w:p>
    <w:p>
      <w:pPr>
        <w:pStyle w:val="nzSubsection"/>
      </w:pPr>
      <w:r>
        <w:tab/>
      </w:r>
      <w:r>
        <w:tab/>
        <w:t xml:space="preserve">Regulation 30(3) is amended by deleting “of regulation 49” and inserting instead — </w:t>
      </w:r>
    </w:p>
    <w:p>
      <w:pPr>
        <w:pStyle w:val="nzSubsection"/>
      </w:pPr>
      <w:r>
        <w:tab/>
      </w:r>
      <w:r>
        <w:tab/>
        <w:t>“    , to the extent relevant, of regulation 49, 49B    ”.</w:t>
      </w:r>
    </w:p>
    <w:p>
      <w:pPr>
        <w:pStyle w:val="nzHeading5"/>
      </w:pPr>
      <w:bookmarkStart w:id="546" w:name="_Toc121624823"/>
      <w:bookmarkStart w:id="547" w:name="_Toc176064196"/>
      <w:bookmarkStart w:id="548" w:name="_Toc186854012"/>
      <w:r>
        <w:rPr>
          <w:rStyle w:val="CharSectno"/>
        </w:rPr>
        <w:t>20</w:t>
      </w:r>
      <w:r>
        <w:t>.</w:t>
      </w:r>
      <w:r>
        <w:tab/>
        <w:t>Regulation 32 amended</w:t>
      </w:r>
      <w:bookmarkEnd w:id="546"/>
      <w:bookmarkEnd w:id="547"/>
      <w:bookmarkEnd w:id="548"/>
    </w:p>
    <w:p>
      <w:pPr>
        <w:pStyle w:val="nzSubsection"/>
      </w:pPr>
      <w:r>
        <w:tab/>
      </w:r>
      <w:r>
        <w:tab/>
        <w:t xml:space="preserve">Regulation 32(1) is amended after “expressed” by inserting — </w:t>
      </w:r>
    </w:p>
    <w:p>
      <w:pPr>
        <w:pStyle w:val="nzSubsection"/>
      </w:pPr>
      <w:r>
        <w:tab/>
      </w:r>
      <w:r>
        <w:tab/>
        <w:t>“    by order of the Board    ”.</w:t>
      </w:r>
    </w:p>
    <w:p>
      <w:pPr>
        <w:pStyle w:val="nzHeading5"/>
      </w:pPr>
      <w:bookmarkStart w:id="549" w:name="_Toc121624824"/>
      <w:bookmarkStart w:id="550" w:name="_Toc176064197"/>
      <w:bookmarkStart w:id="551" w:name="_Toc186854013"/>
      <w:r>
        <w:rPr>
          <w:rStyle w:val="CharSectno"/>
        </w:rPr>
        <w:t>21</w:t>
      </w:r>
      <w:r>
        <w:t>.</w:t>
      </w:r>
      <w:r>
        <w:tab/>
        <w:t>Regulation 33 amended</w:t>
      </w:r>
      <w:bookmarkEnd w:id="549"/>
      <w:bookmarkEnd w:id="550"/>
      <w:bookmarkEnd w:id="551"/>
    </w:p>
    <w:p>
      <w:pPr>
        <w:pStyle w:val="nzSubsection"/>
      </w:pPr>
      <w:r>
        <w:tab/>
        <w:t>(1)</w:t>
      </w:r>
      <w:r>
        <w:tab/>
        <w:t xml:space="preserve">After “or” after regulation 33(2)(a) the following is inserted — </w:t>
      </w:r>
    </w:p>
    <w:p>
      <w:pPr>
        <w:pStyle w:val="MiscOpen"/>
        <w:ind w:left="1332"/>
      </w:pPr>
      <w:r>
        <w:t xml:space="preserve">“    </w:t>
      </w:r>
    </w:p>
    <w:p>
      <w:pPr>
        <w:pStyle w:val="nzIndenta"/>
      </w:pPr>
      <w:r>
        <w:tab/>
        <w:t>(aa)</w:t>
      </w:r>
      <w:r>
        <w:tab/>
        <w:t>he or she carries out electrical work that would be authorised by an electrical worker’s licence endorsed as a restricted licence; or</w:t>
      </w:r>
    </w:p>
    <w:p>
      <w:pPr>
        <w:pStyle w:val="MiscClose"/>
      </w:pPr>
      <w:r>
        <w:t xml:space="preserve">    ”.</w:t>
      </w:r>
    </w:p>
    <w:p>
      <w:pPr>
        <w:pStyle w:val="nzSubsection"/>
      </w:pPr>
      <w:r>
        <w:tab/>
        <w:t>(2)</w:t>
      </w:r>
      <w:r>
        <w:tab/>
        <w:t xml:space="preserve">Regulation 33(4) is amended after “subregulation (2)(a)” by inserting — </w:t>
      </w:r>
    </w:p>
    <w:p>
      <w:pPr>
        <w:pStyle w:val="nzSubsection"/>
      </w:pPr>
      <w:r>
        <w:tab/>
      </w:r>
      <w:r>
        <w:tab/>
        <w:t>“    and (aa)    ”.</w:t>
      </w:r>
    </w:p>
    <w:p>
      <w:pPr>
        <w:pStyle w:val="nzHeading5"/>
      </w:pPr>
      <w:bookmarkStart w:id="552" w:name="_Toc121624825"/>
      <w:bookmarkStart w:id="553" w:name="_Toc176064198"/>
      <w:bookmarkStart w:id="554" w:name="_Toc186854014"/>
      <w:r>
        <w:rPr>
          <w:rStyle w:val="CharSectno"/>
        </w:rPr>
        <w:t>22</w:t>
      </w:r>
      <w:r>
        <w:t>.</w:t>
      </w:r>
      <w:r>
        <w:tab/>
        <w:t>Regulation 36 amended</w:t>
      </w:r>
      <w:bookmarkEnd w:id="552"/>
      <w:bookmarkEnd w:id="553"/>
      <w:bookmarkEnd w:id="554"/>
    </w:p>
    <w:p>
      <w:pPr>
        <w:pStyle w:val="nzSubsection"/>
      </w:pPr>
      <w:r>
        <w:tab/>
        <w:t>(1)</w:t>
      </w:r>
      <w:r>
        <w:tab/>
        <w:t>Regulation 36(1) is amended as follows:</w:t>
      </w:r>
    </w:p>
    <w:p>
      <w:pPr>
        <w:pStyle w:val="nzIndenta"/>
      </w:pPr>
      <w:r>
        <w:tab/>
        <w:t>(a)</w:t>
      </w:r>
      <w:r>
        <w:tab/>
        <w:t xml:space="preserve">by deleting paragraph (a)(i) and inserting instead — </w:t>
      </w:r>
    </w:p>
    <w:p>
      <w:pPr>
        <w:pStyle w:val="nzIndenti"/>
      </w:pPr>
      <w:r>
        <w:br w:type="page"/>
        <w:t xml:space="preserve">“    </w:t>
      </w:r>
    </w:p>
    <w:p>
      <w:pPr>
        <w:pStyle w:val="nzIndenti"/>
      </w:pPr>
      <w:r>
        <w:tab/>
        <w:t>(i)</w:t>
      </w:r>
      <w:r>
        <w:tab/>
        <w:t>holds an electrical worker’s licence endorsed as an electrician’s licence; and</w:t>
      </w:r>
    </w:p>
    <w:p>
      <w:pPr>
        <w:pStyle w:val="MiscClose"/>
      </w:pPr>
      <w:r>
        <w:t xml:space="preserve">    ”;</w:t>
      </w:r>
    </w:p>
    <w:p>
      <w:pPr>
        <w:pStyle w:val="nzIndenta"/>
      </w:pPr>
      <w:r>
        <w:tab/>
        <w:t>(b)</w:t>
      </w:r>
      <w:r>
        <w:tab/>
        <w:t xml:space="preserve">after paragraph (a)(ii) by inserting — </w:t>
      </w:r>
    </w:p>
    <w:p>
      <w:pPr>
        <w:pStyle w:val="nzIndenta"/>
      </w:pPr>
      <w:r>
        <w:tab/>
      </w:r>
      <w:r>
        <w:tab/>
        <w:t>“    and    ”;</w:t>
      </w:r>
    </w:p>
    <w:p>
      <w:pPr>
        <w:pStyle w:val="nzIndenta"/>
      </w:pPr>
      <w:r>
        <w:tab/>
        <w:t>(c)</w:t>
      </w:r>
      <w:r>
        <w:tab/>
        <w:t xml:space="preserve">by deleting paragraph (a)(iv) and inserting the following subparagraph instead — </w:t>
      </w:r>
    </w:p>
    <w:p>
      <w:pPr>
        <w:pStyle w:val="MiscOpen"/>
        <w:ind w:left="2041"/>
      </w:pPr>
      <w:r>
        <w:t xml:space="preserve">“    </w:t>
      </w:r>
    </w:p>
    <w:p>
      <w:pPr>
        <w:pStyle w:val="nzIndenti"/>
      </w:pPr>
      <w:r>
        <w:tab/>
        <w:t>(iv)</w:t>
      </w:r>
      <w:r>
        <w:tab/>
        <w:t>holds with a reputable insurer a current policy of insurance against civil liability, in respect of the work of an electrical contractor, that complies with the requirements specified by the Board;</w:t>
      </w:r>
    </w:p>
    <w:p>
      <w:pPr>
        <w:pStyle w:val="MiscClose"/>
      </w:pPr>
      <w:r>
        <w:t xml:space="preserve">    ”;</w:t>
      </w:r>
    </w:p>
    <w:p>
      <w:pPr>
        <w:pStyle w:val="nzIndenta"/>
      </w:pPr>
      <w:r>
        <w:tab/>
        <w:t>(d)</w:t>
      </w:r>
      <w:r>
        <w:tab/>
        <w:t xml:space="preserve">in paragraph (b) by deleting “under these regulations, the Act and the </w:t>
      </w:r>
      <w:r>
        <w:rPr>
          <w:i/>
        </w:rPr>
        <w:t>Energy Coordination Act 1994</w:t>
      </w:r>
      <w:r>
        <w:t xml:space="preserve"> and the regulations made thereunder on electrical mechanics and electrical contractors.” and inserting instead — </w:t>
      </w:r>
    </w:p>
    <w:p>
      <w:pPr>
        <w:pStyle w:val="MiscOpen"/>
        <w:keepNext w:val="0"/>
        <w:keepLines w:val="0"/>
        <w:ind w:left="1620"/>
      </w:pPr>
      <w:r>
        <w:t xml:space="preserve">“    </w:t>
      </w:r>
    </w:p>
    <w:p>
      <w:pPr>
        <w:pStyle w:val="nzIndenta"/>
      </w:pPr>
      <w:r>
        <w:tab/>
      </w:r>
      <w:r>
        <w:tab/>
        <w:t xml:space="preserve">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MiscClose"/>
        <w:keepNext/>
      </w:pPr>
      <w:r>
        <w:t xml:space="preserve">    ”.</w:t>
      </w:r>
    </w:p>
    <w:p>
      <w:pPr>
        <w:pStyle w:val="nzSubsection"/>
      </w:pPr>
      <w:r>
        <w:tab/>
        <w:t>(2)</w:t>
      </w:r>
      <w:r>
        <w:tab/>
        <w:t xml:space="preserve">Regulation 36(2)(b) is amended by deleting “imposed under these regulations, the Act and the </w:t>
      </w:r>
      <w:r>
        <w:rPr>
          <w:i/>
        </w:rPr>
        <w:t>Energy Coordination Act 1994</w:t>
      </w:r>
      <w:r>
        <w:t xml:space="preserve"> and the regulations made thereunder on electrical mechanics and electrical contractors.” and inserting instead — </w:t>
      </w:r>
    </w:p>
    <w:p>
      <w:pPr>
        <w:pStyle w:val="nzSubsection"/>
      </w:pPr>
      <w:r>
        <w:tab/>
      </w:r>
      <w:r>
        <w:tab/>
        <w:t>“    referred to in subregulation (1)(b).    ”.</w:t>
      </w:r>
    </w:p>
    <w:p>
      <w:pPr>
        <w:pStyle w:val="nzSubsection"/>
      </w:pPr>
      <w:r>
        <w:tab/>
        <w:t>(3)</w:t>
      </w:r>
      <w:r>
        <w:tab/>
        <w:t xml:space="preserve">Regulation 36(3)(b) is amended by deleting “imposed by these regulations, the Act and the </w:t>
      </w:r>
      <w:r>
        <w:rPr>
          <w:i/>
        </w:rPr>
        <w:t>Energy Coordination Act 1994</w:t>
      </w:r>
      <w:r>
        <w:t xml:space="preserve"> and the regulations made thereunder on electrical mechanics and electrical contractors.” and inserting instead — </w:t>
      </w:r>
    </w:p>
    <w:p>
      <w:pPr>
        <w:pStyle w:val="nzSubsection"/>
      </w:pPr>
      <w:r>
        <w:tab/>
      </w:r>
      <w:r>
        <w:tab/>
        <w:t>“    referred to in subregulation (1)(b).    ”.</w:t>
      </w:r>
    </w:p>
    <w:p>
      <w:pPr>
        <w:pStyle w:val="nzHeading5"/>
      </w:pPr>
      <w:bookmarkStart w:id="555" w:name="_Toc121624826"/>
      <w:bookmarkStart w:id="556" w:name="_Toc176064199"/>
      <w:bookmarkStart w:id="557" w:name="_Toc186854015"/>
      <w:r>
        <w:rPr>
          <w:rStyle w:val="CharSectno"/>
        </w:rPr>
        <w:t>23</w:t>
      </w:r>
      <w:r>
        <w:t>.</w:t>
      </w:r>
      <w:r>
        <w:tab/>
        <w:t>Regulation 37 amended</w:t>
      </w:r>
      <w:bookmarkEnd w:id="555"/>
      <w:bookmarkEnd w:id="556"/>
      <w:bookmarkEnd w:id="557"/>
    </w:p>
    <w:p>
      <w:pPr>
        <w:pStyle w:val="nzSubsection"/>
      </w:pPr>
      <w:r>
        <w:tab/>
      </w:r>
      <w:r>
        <w:tab/>
        <w:t>Regulation 37(1) is amended as follows:</w:t>
      </w:r>
    </w:p>
    <w:p>
      <w:pPr>
        <w:pStyle w:val="nzIndenta"/>
      </w:pPr>
      <w:r>
        <w:tab/>
        <w:t>(a)</w:t>
      </w:r>
      <w:r>
        <w:tab/>
        <w:t xml:space="preserve">by deleting paragraph (a)(i) and inserting instead — </w:t>
      </w:r>
    </w:p>
    <w:p>
      <w:pPr>
        <w:pStyle w:val="MiscOpen"/>
        <w:ind w:left="2040"/>
      </w:pPr>
      <w:r>
        <w:t xml:space="preserve">“    </w:t>
      </w:r>
    </w:p>
    <w:p>
      <w:pPr>
        <w:pStyle w:val="nzIndenti"/>
      </w:pPr>
      <w:r>
        <w:tab/>
        <w:t>(i)</w:t>
      </w:r>
      <w:r>
        <w:tab/>
        <w:t>who holds an electrical worker’s licence endorsed as an electrician’s licence; and</w:t>
      </w:r>
    </w:p>
    <w:p>
      <w:pPr>
        <w:pStyle w:val="MiscClose"/>
      </w:pPr>
      <w:r>
        <w:t xml:space="preserve">    ”;</w:t>
      </w:r>
    </w:p>
    <w:p>
      <w:pPr>
        <w:pStyle w:val="nzIndenta"/>
      </w:pPr>
      <w:r>
        <w:tab/>
        <w:t>(b)</w:t>
      </w:r>
      <w:r>
        <w:tab/>
        <w:t xml:space="preserve">in paragraph (a)(iii) by deleting “by these regulations, the Act, the </w:t>
      </w:r>
      <w:r>
        <w:rPr>
          <w:i/>
        </w:rPr>
        <w:t>Energy Operators (Powers) Act 1979</w:t>
      </w:r>
      <w:r>
        <w:t xml:space="preserve">, the </w:t>
      </w:r>
      <w:r>
        <w:rPr>
          <w:i/>
        </w:rPr>
        <w:t>Energy Coordination Act 1994</w:t>
      </w:r>
      <w:r>
        <w:t xml:space="preserve"> and the respective regulations made thereunder on electrical installers and electrical contractors;” and inserting instead — </w:t>
      </w:r>
    </w:p>
    <w:p>
      <w:pPr>
        <w:pStyle w:val="MiscOpen"/>
        <w:ind w:left="2320"/>
      </w:pPr>
      <w:r>
        <w:t xml:space="preserve">“    </w:t>
      </w:r>
    </w:p>
    <w:p>
      <w:pPr>
        <w:pStyle w:val="nzIndenti"/>
      </w:pPr>
      <w:r>
        <w:tab/>
      </w:r>
      <w:r>
        <w:tab/>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MiscClose"/>
      </w:pPr>
      <w:r>
        <w:t xml:space="preserve">    ”;</w:t>
      </w:r>
    </w:p>
    <w:p>
      <w:pPr>
        <w:pStyle w:val="nzIndenta"/>
      </w:pPr>
      <w:r>
        <w:tab/>
        <w:t>(c)</w:t>
      </w:r>
      <w:r>
        <w:tab/>
        <w:t xml:space="preserve">in paragraph (a) after each of subparagraphs (ii) and (iia) by inserting — </w:t>
      </w:r>
    </w:p>
    <w:p>
      <w:pPr>
        <w:pStyle w:val="nzIndenta"/>
      </w:pPr>
      <w:r>
        <w:tab/>
      </w:r>
      <w:r>
        <w:tab/>
        <w:t>“    and    ”.</w:t>
      </w:r>
    </w:p>
    <w:p>
      <w:pPr>
        <w:pStyle w:val="nzHeading5"/>
      </w:pPr>
      <w:bookmarkStart w:id="558" w:name="_Toc121624827"/>
      <w:bookmarkStart w:id="559" w:name="_Toc176064200"/>
      <w:bookmarkStart w:id="560" w:name="_Toc186854016"/>
      <w:r>
        <w:rPr>
          <w:rStyle w:val="CharSectno"/>
        </w:rPr>
        <w:t>24</w:t>
      </w:r>
      <w:r>
        <w:t>.</w:t>
      </w:r>
      <w:r>
        <w:tab/>
        <w:t>Regulation 38 amended</w:t>
      </w:r>
      <w:bookmarkEnd w:id="558"/>
      <w:bookmarkEnd w:id="559"/>
      <w:bookmarkEnd w:id="560"/>
    </w:p>
    <w:p>
      <w:pPr>
        <w:pStyle w:val="nzSubsection"/>
      </w:pPr>
      <w:r>
        <w:tab/>
      </w:r>
      <w:r>
        <w:tab/>
        <w:t xml:space="preserve">After regulation 38(2) the following subregulation is inserted — </w:t>
      </w:r>
    </w:p>
    <w:p>
      <w:pPr>
        <w:pStyle w:val="MiscOpen"/>
        <w:ind w:left="600"/>
      </w:pPr>
      <w:r>
        <w:t xml:space="preserve">“    </w:t>
      </w:r>
    </w:p>
    <w:p>
      <w:pPr>
        <w:pStyle w:val="nzSubsection"/>
      </w:pPr>
      <w:r>
        <w:tab/>
        <w:t>(2a)</w:t>
      </w:r>
      <w:r>
        <w:tab/>
        <w:t xml:space="preserve">The holder of a licence may nominate a person — </w:t>
      </w:r>
    </w:p>
    <w:p>
      <w:pPr>
        <w:pStyle w:val="nzIndenta"/>
      </w:pPr>
      <w:r>
        <w:tab/>
        <w:t>(a)</w:t>
      </w:r>
      <w:r>
        <w:tab/>
        <w:t>as a replacement for a nominee; or</w:t>
      </w:r>
    </w:p>
    <w:p>
      <w:pPr>
        <w:pStyle w:val="nzIndenta"/>
      </w:pPr>
      <w:r>
        <w:tab/>
        <w:t>(b)</w:t>
      </w:r>
      <w:r>
        <w:tab/>
        <w:t>as an additional nominee,</w:t>
      </w:r>
    </w:p>
    <w:p>
      <w:pPr>
        <w:pStyle w:val="nzSubsection"/>
      </w:pPr>
      <w:r>
        <w:tab/>
      </w:r>
      <w:r>
        <w:tab/>
        <w:t>by giving notice in writing to the Board together with the appropriate fee set out in Schedule 1.</w:t>
      </w:r>
    </w:p>
    <w:p>
      <w:pPr>
        <w:pStyle w:val="MiscClose"/>
      </w:pPr>
      <w:r>
        <w:t xml:space="preserve">    ”.</w:t>
      </w:r>
    </w:p>
    <w:p>
      <w:pPr>
        <w:pStyle w:val="nzHeading5"/>
      </w:pPr>
      <w:bookmarkStart w:id="561" w:name="_Toc121624828"/>
      <w:bookmarkStart w:id="562" w:name="_Toc176064201"/>
      <w:bookmarkStart w:id="563" w:name="_Toc186854017"/>
      <w:r>
        <w:rPr>
          <w:rStyle w:val="CharSectno"/>
        </w:rPr>
        <w:t>25</w:t>
      </w:r>
      <w:r>
        <w:t>.</w:t>
      </w:r>
      <w:r>
        <w:tab/>
        <w:t>Regulation 38A inserted</w:t>
      </w:r>
      <w:bookmarkEnd w:id="561"/>
      <w:bookmarkEnd w:id="562"/>
      <w:bookmarkEnd w:id="563"/>
    </w:p>
    <w:p>
      <w:pPr>
        <w:pStyle w:val="nzSubsection"/>
      </w:pPr>
      <w:r>
        <w:tab/>
      </w:r>
      <w:r>
        <w:tab/>
        <w:t xml:space="preserve">After regulation 38 the following regulation is inserted — </w:t>
      </w:r>
    </w:p>
    <w:p>
      <w:pPr>
        <w:pStyle w:val="MiscOpen"/>
      </w:pPr>
      <w:r>
        <w:t xml:space="preserve">“    </w:t>
      </w:r>
    </w:p>
    <w:p>
      <w:pPr>
        <w:pStyle w:val="nzHeading5"/>
      </w:pPr>
      <w:bookmarkStart w:id="564" w:name="_Toc176064202"/>
      <w:bookmarkStart w:id="565" w:name="_Toc186854018"/>
      <w:r>
        <w:t>38A.</w:t>
      </w:r>
      <w:r>
        <w:tab/>
        <w:t>Nominee not required to comply with certain directions</w:t>
      </w:r>
      <w:bookmarkEnd w:id="564"/>
      <w:bookmarkEnd w:id="565"/>
    </w:p>
    <w:p>
      <w:pPr>
        <w:pStyle w:val="nz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MiscClose"/>
      </w:pPr>
      <w:r>
        <w:t xml:space="preserve">    ”.</w:t>
      </w:r>
    </w:p>
    <w:p>
      <w:pPr>
        <w:pStyle w:val="nzHeading5"/>
      </w:pPr>
      <w:bookmarkStart w:id="566" w:name="_Toc121624829"/>
      <w:bookmarkStart w:id="567" w:name="_Toc176064203"/>
      <w:bookmarkStart w:id="568" w:name="_Toc186854019"/>
      <w:r>
        <w:rPr>
          <w:rStyle w:val="CharSectno"/>
        </w:rPr>
        <w:t>26</w:t>
      </w:r>
      <w:r>
        <w:t>.</w:t>
      </w:r>
      <w:r>
        <w:tab/>
        <w:t>Regulation 39 amended</w:t>
      </w:r>
      <w:bookmarkEnd w:id="566"/>
      <w:bookmarkEnd w:id="567"/>
      <w:bookmarkEnd w:id="568"/>
    </w:p>
    <w:p>
      <w:pPr>
        <w:pStyle w:val="nzSubsection"/>
      </w:pPr>
      <w:r>
        <w:tab/>
      </w:r>
      <w:r>
        <w:tab/>
        <w:t xml:space="preserve">Regulation 39(2) is amended after “under the licence” by inserting — </w:t>
      </w:r>
    </w:p>
    <w:p>
      <w:pPr>
        <w:pStyle w:val="MiscOpen"/>
        <w:ind w:left="879"/>
      </w:pPr>
      <w:r>
        <w:t xml:space="preserve">“    </w:t>
      </w:r>
    </w:p>
    <w:p>
      <w:pPr>
        <w:pStyle w:val="nzSubsection"/>
      </w:pPr>
      <w:r>
        <w:tab/>
      </w:r>
      <w:r>
        <w:tab/>
        <w:t>and, in the case of an application for the issue or renewal of registration of an electrical contractor’s licence, details, as specified in the application form, of the prescribed policy of insurance</w:t>
      </w:r>
    </w:p>
    <w:p>
      <w:pPr>
        <w:pStyle w:val="MiscClose"/>
      </w:pPr>
      <w:r>
        <w:t xml:space="preserve">    ”.</w:t>
      </w:r>
    </w:p>
    <w:p>
      <w:pPr>
        <w:pStyle w:val="nzHeading5"/>
      </w:pPr>
      <w:bookmarkStart w:id="569" w:name="_Toc121624830"/>
      <w:bookmarkStart w:id="570" w:name="_Toc176064204"/>
      <w:bookmarkStart w:id="571" w:name="_Toc186854020"/>
      <w:r>
        <w:rPr>
          <w:rStyle w:val="CharSectno"/>
        </w:rPr>
        <w:t>27</w:t>
      </w:r>
      <w:r>
        <w:t>.</w:t>
      </w:r>
      <w:r>
        <w:tab/>
        <w:t>Regulation 40 amended</w:t>
      </w:r>
      <w:bookmarkEnd w:id="569"/>
      <w:bookmarkEnd w:id="570"/>
      <w:bookmarkEnd w:id="571"/>
    </w:p>
    <w:p>
      <w:pPr>
        <w:pStyle w:val="nzSubsection"/>
      </w:pPr>
      <w:r>
        <w:tab/>
      </w:r>
      <w:r>
        <w:tab/>
        <w:t>Regulation 40 is amended as follows:</w:t>
      </w:r>
    </w:p>
    <w:p>
      <w:pPr>
        <w:pStyle w:val="nzIndenta"/>
      </w:pPr>
      <w:r>
        <w:tab/>
        <w:t>(a)</w:t>
      </w:r>
      <w:r>
        <w:tab/>
        <w:t>before “Where” by inserting the subregulation designation “(1)”;</w:t>
      </w:r>
    </w:p>
    <w:p>
      <w:pPr>
        <w:pStyle w:val="nzIndenta"/>
      </w:pPr>
      <w:r>
        <w:tab/>
        <w:t>(b)</w:t>
      </w:r>
      <w:r>
        <w:tab/>
        <w:t xml:space="preserve">at the end of the regulation by inserting the following subregulations — </w:t>
      </w:r>
    </w:p>
    <w:p>
      <w:pPr>
        <w:pStyle w:val="MiscOpen"/>
        <w:ind w:left="595"/>
      </w:pPr>
      <w:r>
        <w:t xml:space="preserve">“    </w:t>
      </w:r>
    </w:p>
    <w:p>
      <w:pPr>
        <w:pStyle w:val="nz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nzSubsection"/>
      </w:pPr>
      <w:r>
        <w:tab/>
        <w:t>(3)</w:t>
      </w:r>
      <w:r>
        <w:tab/>
        <w:t>A licence is subject to such restrictions and conditions, if any, as may be specified in the licence.</w:t>
      </w:r>
    </w:p>
    <w:p>
      <w:pPr>
        <w:pStyle w:val="nzSubsection"/>
      </w:pPr>
      <w:r>
        <w:tab/>
        <w:t>(4)</w:t>
      </w:r>
      <w:r>
        <w:tab/>
        <w:t xml:space="preserve">If the Board decides — </w:t>
      </w:r>
    </w:p>
    <w:p>
      <w:pPr>
        <w:pStyle w:val="nzIndenta"/>
      </w:pPr>
      <w:r>
        <w:tab/>
        <w:t>(a)</w:t>
      </w:r>
      <w:r>
        <w:tab/>
        <w:t>to refuse to issue a licence; or</w:t>
      </w:r>
    </w:p>
    <w:p>
      <w:pPr>
        <w:pStyle w:val="nzIndenta"/>
      </w:pPr>
      <w:r>
        <w:tab/>
        <w:t>(b)</w:t>
      </w:r>
      <w:r>
        <w:tab/>
        <w:t>to issue a licence subject to any restriction or condition,</w:t>
      </w:r>
    </w:p>
    <w:p>
      <w:pPr>
        <w:pStyle w:val="nzSubsection"/>
      </w:pPr>
      <w:r>
        <w:tab/>
      </w:r>
      <w:r>
        <w:tab/>
        <w:t>the Board is to give the decision, and the reasons for the decision, in writing to the applicant or to the licence holder, as the case requires.</w:t>
      </w:r>
    </w:p>
    <w:p>
      <w:pPr>
        <w:pStyle w:val="MiscClose"/>
      </w:pPr>
      <w:r>
        <w:t xml:space="preserve">    ”.</w:t>
      </w:r>
    </w:p>
    <w:p>
      <w:pPr>
        <w:pStyle w:val="nzHeading5"/>
      </w:pPr>
      <w:bookmarkStart w:id="572" w:name="_Toc121624831"/>
      <w:bookmarkStart w:id="573" w:name="_Toc176064205"/>
      <w:bookmarkStart w:id="574" w:name="_Toc186854021"/>
      <w:r>
        <w:rPr>
          <w:rStyle w:val="CharSectno"/>
        </w:rPr>
        <w:t>28</w:t>
      </w:r>
      <w:r>
        <w:t>.</w:t>
      </w:r>
      <w:r>
        <w:tab/>
        <w:t>Regulation 43 amended</w:t>
      </w:r>
      <w:bookmarkEnd w:id="572"/>
      <w:bookmarkEnd w:id="573"/>
      <w:bookmarkEnd w:id="574"/>
    </w:p>
    <w:p>
      <w:pPr>
        <w:pStyle w:val="nzSubsection"/>
      </w:pPr>
      <w:r>
        <w:tab/>
      </w:r>
      <w:r>
        <w:tab/>
        <w:t xml:space="preserve">After regulation 43(2) the following subregulation is inserted — </w:t>
      </w:r>
    </w:p>
    <w:p>
      <w:pPr>
        <w:pStyle w:val="MiscOpen"/>
        <w:ind w:left="595"/>
      </w:pPr>
      <w:r>
        <w:t xml:space="preserve">“    </w:t>
      </w:r>
    </w:p>
    <w:p>
      <w:pPr>
        <w:pStyle w:val="nz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MiscClose"/>
      </w:pPr>
      <w:r>
        <w:t xml:space="preserve">    ”.</w:t>
      </w:r>
    </w:p>
    <w:p>
      <w:pPr>
        <w:pStyle w:val="nzHeading5"/>
      </w:pPr>
      <w:bookmarkStart w:id="575" w:name="_Toc121624832"/>
      <w:bookmarkStart w:id="576" w:name="_Toc176064206"/>
      <w:bookmarkStart w:id="577" w:name="_Toc186854022"/>
      <w:r>
        <w:rPr>
          <w:rStyle w:val="CharSectno"/>
        </w:rPr>
        <w:t>29</w:t>
      </w:r>
      <w:r>
        <w:t>.</w:t>
      </w:r>
      <w:r>
        <w:tab/>
        <w:t>Regulation 44 amended</w:t>
      </w:r>
      <w:bookmarkEnd w:id="575"/>
      <w:bookmarkEnd w:id="576"/>
      <w:bookmarkEnd w:id="577"/>
    </w:p>
    <w:p>
      <w:pPr>
        <w:pStyle w:val="nzSubsection"/>
      </w:pPr>
      <w:r>
        <w:tab/>
        <w:t>(1)</w:t>
      </w:r>
      <w:r>
        <w:tab/>
        <w:t xml:space="preserve">Regulation 44(2) is amended by deleting “Where the registration of a licence holder” and inserting instead — </w:t>
      </w:r>
    </w:p>
    <w:p>
      <w:pPr>
        <w:pStyle w:val="MiscOpen"/>
        <w:ind w:left="880"/>
      </w:pPr>
      <w:r>
        <w:t xml:space="preserve">“    </w:t>
      </w:r>
    </w:p>
    <w:p>
      <w:pPr>
        <w:pStyle w:val="nzSubsection"/>
      </w:pPr>
      <w:r>
        <w:tab/>
      </w:r>
      <w:r>
        <w:tab/>
        <w:t>Subject to subregulation (3), if the registration of a licence</w:t>
      </w:r>
    </w:p>
    <w:p>
      <w:pPr>
        <w:pStyle w:val="MiscClose"/>
      </w:pPr>
      <w:r>
        <w:t xml:space="preserve">    ”.</w:t>
      </w:r>
    </w:p>
    <w:p>
      <w:pPr>
        <w:pStyle w:val="nzSubsection"/>
      </w:pPr>
      <w:r>
        <w:tab/>
        <w:t>(2)</w:t>
      </w:r>
      <w:r>
        <w:tab/>
        <w:t xml:space="preserve">After regulation 44(2) the following subregulation is inserted — </w:t>
      </w:r>
    </w:p>
    <w:p>
      <w:pPr>
        <w:pStyle w:val="MiscOpen"/>
        <w:ind w:left="595"/>
      </w:pPr>
      <w:r>
        <w:t xml:space="preserve">“    </w:t>
      </w:r>
    </w:p>
    <w:p>
      <w:pPr>
        <w:pStyle w:val="nz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MiscClose"/>
      </w:pPr>
      <w:r>
        <w:t xml:space="preserve">    ”.</w:t>
      </w:r>
    </w:p>
    <w:p>
      <w:pPr>
        <w:pStyle w:val="nzHeading5"/>
      </w:pPr>
      <w:bookmarkStart w:id="578" w:name="_Toc121624833"/>
      <w:bookmarkStart w:id="579" w:name="_Toc176064207"/>
      <w:bookmarkStart w:id="580" w:name="_Toc186854023"/>
      <w:r>
        <w:rPr>
          <w:rStyle w:val="CharSectno"/>
        </w:rPr>
        <w:t>30</w:t>
      </w:r>
      <w:r>
        <w:t>.</w:t>
      </w:r>
      <w:r>
        <w:tab/>
        <w:t>Regulation 44A inserted</w:t>
      </w:r>
      <w:bookmarkEnd w:id="578"/>
      <w:bookmarkEnd w:id="579"/>
      <w:bookmarkEnd w:id="580"/>
    </w:p>
    <w:p>
      <w:pPr>
        <w:pStyle w:val="nzSubsection"/>
      </w:pPr>
      <w:r>
        <w:tab/>
      </w:r>
      <w:r>
        <w:tab/>
        <w:t xml:space="preserve">After regulation 44 the following regulation is inserted — </w:t>
      </w:r>
    </w:p>
    <w:p>
      <w:pPr>
        <w:pStyle w:val="MiscOpen"/>
      </w:pPr>
      <w:r>
        <w:t xml:space="preserve">“    </w:t>
      </w:r>
    </w:p>
    <w:p>
      <w:pPr>
        <w:pStyle w:val="nzHeading5"/>
      </w:pPr>
      <w:bookmarkStart w:id="581" w:name="_Toc176064208"/>
      <w:bookmarkStart w:id="582" w:name="_Toc186854024"/>
      <w:r>
        <w:t>44A.</w:t>
      </w:r>
      <w:r>
        <w:tab/>
        <w:t>Board may require details of policy of insurance to be given</w:t>
      </w:r>
      <w:bookmarkEnd w:id="581"/>
      <w:bookmarkEnd w:id="582"/>
    </w:p>
    <w:p>
      <w:pPr>
        <w:pStyle w:val="nz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nzSubsection"/>
      </w:pPr>
      <w:r>
        <w:tab/>
        <w:t>(2)</w:t>
      </w:r>
      <w:r>
        <w:tab/>
        <w:t>The holder of an electrical contractor’s licence is to comply with a notice given under subregulation (1).</w:t>
      </w:r>
    </w:p>
    <w:p>
      <w:pPr>
        <w:pStyle w:val="MiscClose"/>
        <w:keepLines w:val="0"/>
      </w:pPr>
      <w:r>
        <w:t xml:space="preserve">    ”.</w:t>
      </w:r>
    </w:p>
    <w:p>
      <w:pPr>
        <w:pStyle w:val="nzHeading5"/>
      </w:pPr>
      <w:bookmarkStart w:id="583" w:name="_Toc121624834"/>
      <w:bookmarkStart w:id="584" w:name="_Toc176064209"/>
      <w:bookmarkStart w:id="585" w:name="_Toc186854025"/>
      <w:r>
        <w:rPr>
          <w:rStyle w:val="CharSectno"/>
        </w:rPr>
        <w:t>31</w:t>
      </w:r>
      <w:r>
        <w:t>.</w:t>
      </w:r>
      <w:r>
        <w:tab/>
        <w:t>Regulation 45 amended</w:t>
      </w:r>
      <w:bookmarkEnd w:id="583"/>
      <w:bookmarkEnd w:id="584"/>
      <w:bookmarkEnd w:id="585"/>
    </w:p>
    <w:p>
      <w:pPr>
        <w:pStyle w:val="nzSubsection"/>
      </w:pPr>
      <w:r>
        <w:tab/>
        <w:t>(1)</w:t>
      </w:r>
      <w:r>
        <w:tab/>
        <w:t xml:space="preserve">Regulation 45(1) is amended by deleting “appears” and inserting instead — </w:t>
      </w:r>
    </w:p>
    <w:p>
      <w:pPr>
        <w:pStyle w:val="nzSubsection"/>
      </w:pPr>
      <w:r>
        <w:tab/>
      </w:r>
      <w:r>
        <w:tab/>
        <w:t>“    is conspicuously displayed    ”.</w:t>
      </w:r>
    </w:p>
    <w:p>
      <w:pPr>
        <w:pStyle w:val="nzSubsection"/>
      </w:pPr>
      <w:r>
        <w:tab/>
        <w:t>(2)</w:t>
      </w:r>
      <w:r>
        <w:tab/>
        <w:t xml:space="preserve">Regulation 45(2) is amended by deleting “The” and inserting instead — </w:t>
      </w:r>
    </w:p>
    <w:p>
      <w:pPr>
        <w:pStyle w:val="nzSubsection"/>
      </w:pPr>
      <w:r>
        <w:tab/>
      </w:r>
      <w:r>
        <w:tab/>
        <w:t>“    Subject to subregulation (2a), the    ”.</w:t>
      </w:r>
    </w:p>
    <w:p>
      <w:pPr>
        <w:pStyle w:val="nzSubsection"/>
      </w:pPr>
      <w:r>
        <w:tab/>
        <w:t>(3)</w:t>
      </w:r>
      <w:r>
        <w:tab/>
        <w:t xml:space="preserve">After regulation 45(2) the following subregulation is inserted — </w:t>
      </w:r>
    </w:p>
    <w:p>
      <w:pPr>
        <w:pStyle w:val="MiscOpen"/>
        <w:ind w:left="600"/>
      </w:pPr>
      <w:r>
        <w:t xml:space="preserve">“    </w:t>
      </w:r>
    </w:p>
    <w:p>
      <w:pPr>
        <w:pStyle w:val="nzSubsection"/>
      </w:pPr>
      <w:r>
        <w:tab/>
        <w:t>(2a)</w:t>
      </w:r>
      <w:r>
        <w:tab/>
        <w:t>Notice under subregulation (2) of a change of the principal place of business may be given in writing, by facsimile transmission, by telephone or by a means of electronic communication approved by the Board.</w:t>
      </w:r>
    </w:p>
    <w:p>
      <w:pPr>
        <w:pStyle w:val="MiscClose"/>
        <w:keepNext/>
      </w:pPr>
      <w:r>
        <w:t xml:space="preserve">    ”.</w:t>
      </w:r>
    </w:p>
    <w:p>
      <w:pPr>
        <w:pStyle w:val="nzHeading5"/>
      </w:pPr>
      <w:bookmarkStart w:id="586" w:name="_Toc121624835"/>
      <w:bookmarkStart w:id="587" w:name="_Toc176064210"/>
      <w:bookmarkStart w:id="588" w:name="_Toc186854026"/>
      <w:r>
        <w:rPr>
          <w:rStyle w:val="CharSectno"/>
        </w:rPr>
        <w:t>32</w:t>
      </w:r>
      <w:r>
        <w:t>.</w:t>
      </w:r>
      <w:r>
        <w:tab/>
        <w:t>Regulation 45A inserted</w:t>
      </w:r>
      <w:bookmarkEnd w:id="586"/>
      <w:bookmarkEnd w:id="587"/>
      <w:bookmarkEnd w:id="588"/>
    </w:p>
    <w:p>
      <w:pPr>
        <w:pStyle w:val="nzSubsection"/>
      </w:pPr>
      <w:r>
        <w:tab/>
      </w:r>
      <w:r>
        <w:tab/>
        <w:t xml:space="preserve">After regulation 45 the following regulation is inserted — </w:t>
      </w:r>
    </w:p>
    <w:p>
      <w:pPr>
        <w:pStyle w:val="MiscOpen"/>
      </w:pPr>
      <w:r>
        <w:t xml:space="preserve">“    </w:t>
      </w:r>
    </w:p>
    <w:p>
      <w:pPr>
        <w:pStyle w:val="nzHeading5"/>
      </w:pPr>
      <w:bookmarkStart w:id="589" w:name="_Toc176064211"/>
      <w:bookmarkStart w:id="590" w:name="_Toc186854027"/>
      <w:r>
        <w:t>45A.</w:t>
      </w:r>
      <w:r>
        <w:tab/>
        <w:t>Discretionary examinations</w:t>
      </w:r>
      <w:bookmarkEnd w:id="589"/>
      <w:bookmarkEnd w:id="590"/>
    </w:p>
    <w:p>
      <w:pPr>
        <w:pStyle w:val="nzSubsection"/>
      </w:pPr>
      <w:r>
        <w:tab/>
        <w:t>(1)</w:t>
      </w:r>
      <w:r>
        <w:tab/>
        <w:t xml:space="preserve">In this regulation — </w:t>
      </w:r>
    </w:p>
    <w:p>
      <w:pPr>
        <w:pStyle w:val="nzDefstart"/>
      </w:pPr>
      <w:r>
        <w:tab/>
      </w:r>
      <w:r>
        <w:rPr>
          <w:b/>
        </w:rPr>
        <w:t>“</w:t>
      </w:r>
      <w:r>
        <w:rPr>
          <w:rStyle w:val="CharDefText"/>
        </w:rPr>
        <w:t>relevant licence</w:t>
      </w:r>
      <w:r>
        <w:rPr>
          <w:b/>
        </w:rPr>
        <w:t>”</w:t>
      </w:r>
      <w:r>
        <w:t xml:space="preserve"> means the relevant electrical contractor’s licence or the relevant in</w:t>
      </w:r>
      <w:r>
        <w:noBreakHyphen/>
        <w:t>house electrical installing work licence, as the case requires.</w:t>
      </w:r>
    </w:p>
    <w:p>
      <w:pPr>
        <w:pStyle w:val="nzSubsection"/>
      </w:pPr>
      <w:r>
        <w:tab/>
        <w:t>(2)</w:t>
      </w:r>
      <w:r>
        <w:tab/>
        <w:t xml:space="preserve">The Board may require a person — </w:t>
      </w:r>
    </w:p>
    <w:p>
      <w:pPr>
        <w:pStyle w:val="nzIndenta"/>
      </w:pPr>
      <w:r>
        <w:tab/>
        <w:t>(a)</w:t>
      </w:r>
      <w:r>
        <w:tab/>
        <w:t>who holds an electrical contractor’s licence in accordance with regulation 36(1) or who has applied to be issued with an electrical contractor’s licence; or</w:t>
      </w:r>
    </w:p>
    <w:p>
      <w:pPr>
        <w:pStyle w:val="nzIndenta"/>
      </w:pPr>
      <w:r>
        <w:tab/>
        <w:t>(b)</w:t>
      </w:r>
      <w:r>
        <w:tab/>
        <w:t>who is a member of a firm that holds an electrical contractor’s licence in accordance with regulation 36(2) or that has applied to be issued with an electrical contractor’s licence; or</w:t>
      </w:r>
    </w:p>
    <w:p>
      <w:pPr>
        <w:pStyle w:val="nzIndenta"/>
      </w:pPr>
      <w:r>
        <w:tab/>
        <w:t>(c)</w:t>
      </w:r>
      <w:r>
        <w:tab/>
        <w:t>who holds an in</w:t>
      </w:r>
      <w:r>
        <w:noBreakHyphen/>
        <w:t>house electrical installing work licence or who has applied to be issued with an in</w:t>
      </w:r>
      <w:r>
        <w:noBreakHyphen/>
        <w:t>house electrical installing work licence; or</w:t>
      </w:r>
    </w:p>
    <w:p>
      <w:pPr>
        <w:pStyle w:val="nzIndenta"/>
      </w:pPr>
      <w:r>
        <w:tab/>
        <w:t>(d)</w:t>
      </w:r>
      <w:r>
        <w:tab/>
        <w:t>who is nominated for the purposes of regulation 36 or 37,</w:t>
      </w:r>
    </w:p>
    <w:p>
      <w:pPr>
        <w:pStyle w:val="nzSubsection"/>
      </w:pPr>
      <w:r>
        <w:tab/>
      </w:r>
      <w:r>
        <w:tab/>
        <w:t>to undergo an examination of his or her physical fitness by a person acceptable to the Board.</w:t>
      </w:r>
    </w:p>
    <w:p>
      <w:pPr>
        <w:pStyle w:val="nzSubsection"/>
      </w:pPr>
      <w:r>
        <w:tab/>
        <w:t>(3)</w:t>
      </w:r>
      <w:r>
        <w:tab/>
        <w:t xml:space="preserve">Subregulation (4) applies if a person required under subregulation (2) to undergo an examination — </w:t>
      </w:r>
    </w:p>
    <w:p>
      <w:pPr>
        <w:pStyle w:val="nzIndenta"/>
      </w:pPr>
      <w:r>
        <w:tab/>
        <w:t>(a)</w:t>
      </w:r>
      <w:r>
        <w:tab/>
        <w:t>fails to comply with the requirement within the time specified in the requirement; or</w:t>
      </w:r>
    </w:p>
    <w:p>
      <w:pPr>
        <w:pStyle w:val="nzIndenta"/>
      </w:pPr>
      <w:r>
        <w:tab/>
        <w:t>(b)</w:t>
      </w:r>
      <w:r>
        <w:tab/>
        <w:t>fails to produce to the Board evidence considered by the Board to be satisfactory concerning the results of that examination; or</w:t>
      </w:r>
    </w:p>
    <w:p>
      <w:pPr>
        <w:pStyle w:val="nzIndenta"/>
      </w:pPr>
      <w:r>
        <w:tab/>
        <w:t>(c)</w:t>
      </w:r>
      <w:r>
        <w:tab/>
        <w:t>fails in that examination to meet the standards considered by the Board to be appropriate.</w:t>
      </w:r>
    </w:p>
    <w:p>
      <w:pPr>
        <w:pStyle w:val="nzSubsection"/>
      </w:pPr>
      <w:r>
        <w:tab/>
        <w:t>(4)</w:t>
      </w:r>
      <w:r>
        <w:tab/>
        <w:t xml:space="preserve">If this subregulation applies, the Board may refuse to grant the relevant licence or, if an individual, firm or body corporate is already the holder of the relevant licence, the Board may — </w:t>
      </w:r>
    </w:p>
    <w:p>
      <w:pPr>
        <w:pStyle w:val="nzIndenta"/>
      </w:pPr>
      <w:r>
        <w:tab/>
        <w:t>(a)</w:t>
      </w:r>
      <w:r>
        <w:tab/>
        <w:t>refuse to renew the registration of that licence; or</w:t>
      </w:r>
    </w:p>
    <w:p>
      <w:pPr>
        <w:pStyle w:val="nzIndenta"/>
      </w:pPr>
      <w:r>
        <w:tab/>
        <w:t>(b)</w:t>
      </w:r>
      <w:r>
        <w:tab/>
        <w:t>make an order suspending or cancelling that licence.</w:t>
      </w:r>
    </w:p>
    <w:p>
      <w:pPr>
        <w:pStyle w:val="nzSubsection"/>
      </w:pPr>
      <w:r>
        <w:tab/>
        <w:t>(5)</w:t>
      </w:r>
      <w:r>
        <w:tab/>
        <w:t>An order made by the Board under subregulation (4)(b) is to be in writing and a copy of the order given to the individual, firm or body corporate that holds the relevant licence.</w:t>
      </w:r>
    </w:p>
    <w:p>
      <w:pPr>
        <w:pStyle w:val="MiscClose"/>
      </w:pPr>
      <w:r>
        <w:t xml:space="preserve">    ”.</w:t>
      </w:r>
    </w:p>
    <w:p>
      <w:pPr>
        <w:pStyle w:val="nzHeading5"/>
      </w:pPr>
      <w:bookmarkStart w:id="591" w:name="_Toc121624836"/>
      <w:bookmarkStart w:id="592" w:name="_Toc176064212"/>
      <w:bookmarkStart w:id="593" w:name="_Toc186854028"/>
      <w:r>
        <w:rPr>
          <w:rStyle w:val="CharSectno"/>
        </w:rPr>
        <w:t>33</w:t>
      </w:r>
      <w:r>
        <w:t>.</w:t>
      </w:r>
      <w:r>
        <w:tab/>
        <w:t>Regulation 46 amended</w:t>
      </w:r>
      <w:bookmarkEnd w:id="591"/>
      <w:bookmarkEnd w:id="592"/>
      <w:bookmarkEnd w:id="593"/>
    </w:p>
    <w:p>
      <w:pPr>
        <w:pStyle w:val="nzSubsection"/>
      </w:pPr>
      <w:r>
        <w:tab/>
        <w:t>(1)</w:t>
      </w:r>
      <w:r>
        <w:tab/>
        <w:t xml:space="preserve">After regulation 46(1) the following subregulation is inserted — </w:t>
      </w:r>
    </w:p>
    <w:p>
      <w:pPr>
        <w:pStyle w:val="MiscOpen"/>
        <w:keepNext w:val="0"/>
        <w:keepLines w:val="0"/>
        <w:ind w:left="595"/>
      </w:pPr>
      <w:r>
        <w:t xml:space="preserve">“    </w:t>
      </w:r>
    </w:p>
    <w:p>
      <w:pPr>
        <w:pStyle w:val="nzSubsection"/>
      </w:pPr>
      <w:r>
        <w:tab/>
        <w:t>(1a)</w:t>
      </w:r>
      <w:r>
        <w:tab/>
        <w:t xml:space="preserve">In subregulation (1) — </w:t>
      </w:r>
    </w:p>
    <w:p>
      <w:pPr>
        <w:pStyle w:val="nzDefstart"/>
      </w:pPr>
      <w:r>
        <w:tab/>
      </w:r>
      <w:r>
        <w:rPr>
          <w:b/>
        </w:rPr>
        <w:t>“</w:t>
      </w:r>
      <w:r>
        <w:rPr>
          <w:rStyle w:val="CharDefText"/>
        </w:rPr>
        <w:t>holder of a licence</w:t>
      </w:r>
      <w:r>
        <w:rPr>
          <w:b/>
        </w:rPr>
        <w:t>”</w:t>
      </w:r>
      <w:r>
        <w:t xml:space="preserve"> includes — </w:t>
      </w:r>
    </w:p>
    <w:p>
      <w:pPr>
        <w:pStyle w:val="nzDefpara"/>
      </w:pPr>
      <w:r>
        <w:tab/>
        <w:t>(a)</w:t>
      </w:r>
      <w:r>
        <w:tab/>
        <w:t>a natural person who is a member of a firm, or who is otherwise concerned in the management of a firm, that holds a licence; and</w:t>
      </w:r>
    </w:p>
    <w:p>
      <w:pPr>
        <w:pStyle w:val="nzDefpara"/>
      </w:pPr>
      <w:r>
        <w:tab/>
        <w:t>(b)</w:t>
      </w:r>
      <w:r>
        <w:tab/>
        <w:t>a natural person who is a director of a body corporate, or who is otherwise concerned in the management of a body corporate, that holds a licence.</w:t>
      </w:r>
    </w:p>
    <w:p>
      <w:pPr>
        <w:pStyle w:val="MiscClose"/>
      </w:pPr>
      <w:r>
        <w:t xml:space="preserve">    ”.</w:t>
      </w:r>
    </w:p>
    <w:p>
      <w:pPr>
        <w:pStyle w:val="nzSubsection"/>
      </w:pPr>
      <w:r>
        <w:tab/>
        <w:t>(2)</w:t>
      </w:r>
      <w:r>
        <w:tab/>
        <w:t xml:space="preserve">Regulation 46(2) is amended by deleting “of regulation 49” and inserting instead — </w:t>
      </w:r>
    </w:p>
    <w:p>
      <w:pPr>
        <w:pStyle w:val="nzSubsection"/>
      </w:pPr>
      <w:r>
        <w:tab/>
      </w:r>
      <w:r>
        <w:tab/>
        <w:t>“    , to the extent relevant, of regulation 49, 49B    ”.</w:t>
      </w:r>
    </w:p>
    <w:p>
      <w:pPr>
        <w:pStyle w:val="nzHeading5"/>
      </w:pPr>
      <w:bookmarkStart w:id="594" w:name="_Toc121624837"/>
      <w:bookmarkStart w:id="595" w:name="_Toc176064213"/>
      <w:bookmarkStart w:id="596" w:name="_Toc186854029"/>
      <w:r>
        <w:rPr>
          <w:rStyle w:val="CharSectno"/>
        </w:rPr>
        <w:t>34</w:t>
      </w:r>
      <w:r>
        <w:t>.</w:t>
      </w:r>
      <w:r>
        <w:tab/>
        <w:t>Regulation 47 amended</w:t>
      </w:r>
      <w:bookmarkEnd w:id="594"/>
      <w:bookmarkEnd w:id="595"/>
      <w:bookmarkEnd w:id="596"/>
    </w:p>
    <w:p>
      <w:pPr>
        <w:pStyle w:val="nzSubsection"/>
      </w:pPr>
      <w:r>
        <w:tab/>
      </w:r>
      <w:r>
        <w:tab/>
        <w:t xml:space="preserve">Before regulation 47(1) the following subregulations are inserted — </w:t>
      </w:r>
    </w:p>
    <w:p>
      <w:pPr>
        <w:pStyle w:val="MiscOpen"/>
        <w:ind w:left="600"/>
      </w:pPr>
      <w:r>
        <w:t xml:space="preserve">“    </w:t>
      </w:r>
    </w:p>
    <w:p>
      <w:pPr>
        <w:pStyle w:val="nzSubsection"/>
      </w:pPr>
      <w:r>
        <w:tab/>
        <w:t>(1aa)</w:t>
      </w:r>
      <w:r>
        <w:tab/>
        <w:t xml:space="preserve">In this regulation — </w:t>
      </w:r>
    </w:p>
    <w:p>
      <w:pPr>
        <w:pStyle w:val="nzDefstart"/>
      </w:pPr>
      <w:r>
        <w:rPr>
          <w:b/>
        </w:rPr>
        <w:tab/>
        <w:t>“</w:t>
      </w:r>
      <w:r>
        <w:rPr>
          <w:rStyle w:val="CharDefText"/>
        </w:rPr>
        <w:t>holder of a licence</w:t>
      </w:r>
      <w:r>
        <w:rPr>
          <w:b/>
        </w:rPr>
        <w:t>”</w:t>
      </w:r>
      <w:r>
        <w:t xml:space="preserve"> has the meaning given in regulation 46(1a).</w:t>
      </w:r>
    </w:p>
    <w:p>
      <w:pPr>
        <w:pStyle w:val="nzSubsection"/>
      </w:pPr>
      <w:r>
        <w:tab/>
        <w:t>(1ab)</w:t>
      </w:r>
      <w:r>
        <w:tab/>
        <w:t xml:space="preserve">In subregulation (2)(a), (b), (c), (f) and (g) — </w:t>
      </w:r>
    </w:p>
    <w:p>
      <w:pPr>
        <w:pStyle w:val="nzDefstart"/>
      </w:pPr>
      <w:r>
        <w:rPr>
          <w:b/>
        </w:rPr>
        <w:tab/>
        <w:t>“</w:t>
      </w:r>
      <w:r>
        <w:rPr>
          <w:rStyle w:val="CharDefText"/>
        </w:rPr>
        <w:t>person</w:t>
      </w:r>
      <w:r>
        <w:rPr>
          <w:b/>
        </w:rPr>
        <w:t>”</w:t>
      </w:r>
      <w:r>
        <w:t xml:space="preserve"> includes — </w:t>
      </w:r>
    </w:p>
    <w:p>
      <w:pPr>
        <w:pStyle w:val="nzDefpara"/>
      </w:pPr>
      <w:r>
        <w:tab/>
        <w:t>(a)</w:t>
      </w:r>
      <w:r>
        <w:tab/>
        <w:t>if the person is a member of, or otherwise concerned in the management of, a firm that holds a licence — the firm; and</w:t>
      </w:r>
    </w:p>
    <w:p>
      <w:pPr>
        <w:pStyle w:val="nzDefpara"/>
      </w:pPr>
      <w:r>
        <w:tab/>
        <w:t>(b)</w:t>
      </w:r>
      <w:r>
        <w:tab/>
        <w:t>if the person is a director of, or otherwise concerned in the management of, a body corporate that holds a licence — the body corporate.</w:t>
      </w:r>
    </w:p>
    <w:p>
      <w:pPr>
        <w:pStyle w:val="MiscClose"/>
      </w:pPr>
      <w:r>
        <w:t xml:space="preserve">    ”.</w:t>
      </w:r>
    </w:p>
    <w:p>
      <w:pPr>
        <w:pStyle w:val="nzHeading5"/>
      </w:pPr>
      <w:bookmarkStart w:id="597" w:name="_Toc121624838"/>
      <w:bookmarkStart w:id="598" w:name="_Toc176064214"/>
      <w:bookmarkStart w:id="599" w:name="_Toc186854030"/>
      <w:r>
        <w:rPr>
          <w:rStyle w:val="CharSectno"/>
        </w:rPr>
        <w:t>35</w:t>
      </w:r>
      <w:r>
        <w:t>.</w:t>
      </w:r>
      <w:r>
        <w:tab/>
        <w:t>Regulation 47A amended</w:t>
      </w:r>
      <w:bookmarkEnd w:id="597"/>
      <w:bookmarkEnd w:id="598"/>
      <w:bookmarkEnd w:id="599"/>
    </w:p>
    <w:p>
      <w:pPr>
        <w:pStyle w:val="nzSubsection"/>
      </w:pPr>
      <w:r>
        <w:tab/>
      </w:r>
      <w:r>
        <w:tab/>
        <w:t xml:space="preserve">After regulation 47A(1) the following subregulation is inserted — </w:t>
      </w:r>
    </w:p>
    <w:p>
      <w:pPr>
        <w:pStyle w:val="MiscOpen"/>
        <w:ind w:left="600"/>
      </w:pPr>
      <w:r>
        <w:t xml:space="preserve">“    </w:t>
      </w:r>
    </w:p>
    <w:p>
      <w:pPr>
        <w:pStyle w:val="nzSubsection"/>
      </w:pPr>
      <w:r>
        <w:tab/>
        <w:t>(1a)</w:t>
      </w:r>
      <w:r>
        <w:tab/>
        <w:t xml:space="preserve">In subregulation (1)(a), (d), (g) and (h) — </w:t>
      </w:r>
    </w:p>
    <w:p>
      <w:pPr>
        <w:pStyle w:val="nzDefstart"/>
      </w:pPr>
      <w:r>
        <w:rPr>
          <w:b/>
        </w:rPr>
        <w:tab/>
        <w:t>“</w:t>
      </w:r>
      <w:r>
        <w:rPr>
          <w:rStyle w:val="CharDefText"/>
        </w:rPr>
        <w:t>person</w:t>
      </w:r>
      <w:r>
        <w:rPr>
          <w:b/>
        </w:rPr>
        <w:t>”</w:t>
      </w:r>
      <w:r>
        <w:t xml:space="preserve"> includes — </w:t>
      </w:r>
    </w:p>
    <w:p>
      <w:pPr>
        <w:pStyle w:val="nzDefpara"/>
      </w:pPr>
      <w:r>
        <w:tab/>
        <w:t>(a)</w:t>
      </w:r>
      <w:r>
        <w:tab/>
        <w:t>if the person is a member of, or otherwise concerned in the management of, a firm that holds a licence — the firm; and</w:t>
      </w:r>
    </w:p>
    <w:p>
      <w:pPr>
        <w:pStyle w:val="nzDefpara"/>
      </w:pPr>
      <w:r>
        <w:tab/>
        <w:t>(b)</w:t>
      </w:r>
      <w:r>
        <w:tab/>
        <w:t>if the person is a director of, or otherwise concerned in the management of, a body corporate that holds a licence — the body corporate.</w:t>
      </w:r>
    </w:p>
    <w:p>
      <w:pPr>
        <w:pStyle w:val="MiscClose"/>
      </w:pPr>
      <w:r>
        <w:t xml:space="preserve">    ”.</w:t>
      </w:r>
    </w:p>
    <w:p>
      <w:pPr>
        <w:pStyle w:val="nzHeading5"/>
      </w:pPr>
      <w:bookmarkStart w:id="600" w:name="_Toc121624839"/>
      <w:bookmarkStart w:id="601" w:name="_Toc176064215"/>
      <w:bookmarkStart w:id="602" w:name="_Toc186854031"/>
      <w:r>
        <w:rPr>
          <w:rStyle w:val="CharSectno"/>
        </w:rPr>
        <w:t>36</w:t>
      </w:r>
      <w:r>
        <w:t>.</w:t>
      </w:r>
      <w:r>
        <w:tab/>
        <w:t>Regulation 47B inserted</w:t>
      </w:r>
      <w:bookmarkEnd w:id="600"/>
      <w:bookmarkEnd w:id="601"/>
      <w:bookmarkEnd w:id="602"/>
    </w:p>
    <w:p>
      <w:pPr>
        <w:pStyle w:val="nzSubsection"/>
      </w:pPr>
      <w:r>
        <w:tab/>
      </w:r>
      <w:r>
        <w:tab/>
        <w:t xml:space="preserve">After regulation 47A the following regulation is inserted in Part 4 — </w:t>
      </w:r>
    </w:p>
    <w:p>
      <w:pPr>
        <w:pStyle w:val="MiscOpen"/>
      </w:pPr>
      <w:r>
        <w:t xml:space="preserve">“    </w:t>
      </w:r>
    </w:p>
    <w:p>
      <w:pPr>
        <w:pStyle w:val="nzHeading5"/>
      </w:pPr>
      <w:bookmarkStart w:id="603" w:name="_Toc176064216"/>
      <w:bookmarkStart w:id="604" w:name="_Toc186854032"/>
      <w:r>
        <w:t>47B.</w:t>
      </w:r>
      <w:r>
        <w:tab/>
        <w:t>Effect of, and revocation of, suspension</w:t>
      </w:r>
      <w:bookmarkEnd w:id="603"/>
      <w:bookmarkEnd w:id="604"/>
    </w:p>
    <w:p>
      <w:pPr>
        <w:pStyle w:val="nz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nz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nz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MiscClose"/>
      </w:pPr>
      <w:r>
        <w:t xml:space="preserve">    ”.</w:t>
      </w:r>
    </w:p>
    <w:p>
      <w:pPr>
        <w:pStyle w:val="nzHeading5"/>
      </w:pPr>
      <w:bookmarkStart w:id="605" w:name="_Toc121624840"/>
      <w:bookmarkStart w:id="606" w:name="_Toc176064217"/>
      <w:bookmarkStart w:id="607" w:name="_Toc186854033"/>
      <w:r>
        <w:rPr>
          <w:rStyle w:val="CharSectno"/>
        </w:rPr>
        <w:t>37</w:t>
      </w:r>
      <w:r>
        <w:t>.</w:t>
      </w:r>
      <w:r>
        <w:tab/>
        <w:t>Regulation 49 amended</w:t>
      </w:r>
      <w:bookmarkEnd w:id="605"/>
      <w:bookmarkEnd w:id="606"/>
      <w:bookmarkEnd w:id="607"/>
    </w:p>
    <w:p>
      <w:pPr>
        <w:pStyle w:val="nzSubsection"/>
      </w:pPr>
      <w:r>
        <w:tab/>
        <w:t>(1)</w:t>
      </w:r>
      <w:r>
        <w:tab/>
        <w:t>Regulation 49(1) is amended as follows:</w:t>
      </w:r>
    </w:p>
    <w:p>
      <w:pPr>
        <w:pStyle w:val="nzIndenta"/>
      </w:pPr>
      <w:r>
        <w:tab/>
        <w:t>(a)</w:t>
      </w:r>
      <w:r>
        <w:tab/>
        <w:t xml:space="preserve">by deleting “An electrical worker” and inserting instead — </w:t>
      </w:r>
    </w:p>
    <w:p>
      <w:pPr>
        <w:pStyle w:val="nzIndenta"/>
      </w:pPr>
      <w:r>
        <w:tab/>
      </w:r>
      <w:r>
        <w:tab/>
        <w:t>“    A person    ”;</w:t>
      </w:r>
    </w:p>
    <w:p>
      <w:pPr>
        <w:pStyle w:val="nzIndenta"/>
      </w:pPr>
      <w:r>
        <w:tab/>
        <w:t>(b)</w:t>
      </w:r>
      <w:r>
        <w:tab/>
        <w:t xml:space="preserve">by deleting “the Standards Association of Australia” and inserting instead — </w:t>
      </w:r>
    </w:p>
    <w:p>
      <w:pPr>
        <w:pStyle w:val="nzIndenta"/>
      </w:pPr>
      <w:r>
        <w:tab/>
      </w:r>
      <w:r>
        <w:tab/>
        <w:t>“    Standards Australia    ”.</w:t>
      </w:r>
    </w:p>
    <w:p>
      <w:pPr>
        <w:pStyle w:val="nzSubsection"/>
      </w:pPr>
      <w:r>
        <w:tab/>
        <w:t>(2)</w:t>
      </w:r>
      <w:r>
        <w:tab/>
        <w:t xml:space="preserve">After regulation 49(1) the following subregulation is inserted — </w:t>
      </w:r>
    </w:p>
    <w:p>
      <w:pPr>
        <w:pStyle w:val="MiscOpen"/>
        <w:ind w:left="600"/>
      </w:pPr>
      <w:r>
        <w:t xml:space="preserve">“    </w:t>
      </w:r>
    </w:p>
    <w:p>
      <w:pPr>
        <w:pStyle w:val="nzSubsection"/>
      </w:pPr>
      <w:r>
        <w:tab/>
        <w:t>(1a)</w:t>
      </w:r>
      <w:r>
        <w:tab/>
        <w:t xml:space="preserve">If — </w:t>
      </w:r>
    </w:p>
    <w:p>
      <w:pPr>
        <w:pStyle w:val="nzIndenta"/>
      </w:pPr>
      <w:r>
        <w:tab/>
        <w:t>(a)</w:t>
      </w:r>
      <w:r>
        <w:tab/>
        <w:t xml:space="preserve">an amendment (the </w:t>
      </w:r>
      <w:r>
        <w:rPr>
          <w:b/>
        </w:rPr>
        <w:t>“</w:t>
      </w:r>
      <w:r>
        <w:rPr>
          <w:rStyle w:val="CharDefText"/>
        </w:rPr>
        <w:t>SA amendment</w:t>
      </w:r>
      <w:r>
        <w:rPr>
          <w:b/>
        </w:rPr>
        <w:t>”</w:t>
      </w:r>
      <w:r>
        <w:t>) is published by Standards Australia to a standard referred to in subregulation (1); and</w:t>
      </w:r>
    </w:p>
    <w:p>
      <w:pPr>
        <w:pStyle w:val="nzIndenta"/>
      </w:pPr>
      <w:r>
        <w:tab/>
        <w:t>(b)</w:t>
      </w:r>
      <w:r>
        <w:tab/>
        <w:t>there is no corresponding amendment to the WA Electrical Requirements within the period of 6 months after the day on which the SA amendment is published,</w:t>
      </w:r>
    </w:p>
    <w:p>
      <w:pPr>
        <w:pStyle w:val="nzSubsection"/>
      </w:pPr>
      <w:r>
        <w:tab/>
      </w:r>
      <w:r>
        <w:tab/>
        <w:t>the SA amendment has effect for the purposes of subregulation (1) on the expiry of that period.</w:t>
      </w:r>
    </w:p>
    <w:p>
      <w:pPr>
        <w:pStyle w:val="MiscClose"/>
      </w:pPr>
      <w:r>
        <w:t xml:space="preserve">    ”.</w:t>
      </w:r>
    </w:p>
    <w:p>
      <w:pPr>
        <w:pStyle w:val="nzSubsection"/>
      </w:pPr>
      <w:r>
        <w:tab/>
        <w:t>(3)</w:t>
      </w:r>
      <w:r>
        <w:tab/>
        <w:t xml:space="preserve">Regulation 49(2) is amended by deleting “Where” and inserting instead — </w:t>
      </w:r>
    </w:p>
    <w:p>
      <w:pPr>
        <w:pStyle w:val="nzSubsection"/>
      </w:pPr>
      <w:r>
        <w:tab/>
      </w:r>
      <w:r>
        <w:tab/>
        <w:t>“    Subject to subregulation (1a), if    ”.</w:t>
      </w:r>
    </w:p>
    <w:p>
      <w:pPr>
        <w:pStyle w:val="nzSubsection"/>
      </w:pPr>
      <w:r>
        <w:tab/>
        <w:t>(4)</w:t>
      </w:r>
      <w:r>
        <w:tab/>
        <w:t xml:space="preserve">After regulation 49(2) the following subregulation is inserted — </w:t>
      </w:r>
    </w:p>
    <w:p>
      <w:pPr>
        <w:pStyle w:val="MiscOpen"/>
        <w:ind w:left="595"/>
      </w:pPr>
      <w:r>
        <w:t xml:space="preserve">“    </w:t>
      </w:r>
    </w:p>
    <w:p>
      <w:pPr>
        <w:pStyle w:val="nzSubsection"/>
      </w:pPr>
      <w:r>
        <w:tab/>
        <w:t>(2a)</w:t>
      </w:r>
      <w:r>
        <w:tab/>
        <w:t xml:space="preserve">The Director may, in relation to electrical work to be carried out on an electrical installation of a consumer — </w:t>
      </w:r>
    </w:p>
    <w:p>
      <w:pPr>
        <w:pStyle w:val="nzIndenta"/>
      </w:pPr>
      <w:r>
        <w:tab/>
        <w:t>(a)</w:t>
      </w:r>
      <w:r>
        <w:tab/>
        <w:t>vary the requirements referred to in subregulation (1); or</w:t>
      </w:r>
    </w:p>
    <w:p>
      <w:pPr>
        <w:pStyle w:val="nzIndenta"/>
      </w:pPr>
      <w:r>
        <w:tab/>
        <w:t>(b)</w:t>
      </w:r>
      <w:r>
        <w:tab/>
        <w:t>specify that one or more of those requirements do not apply; or</w:t>
      </w:r>
    </w:p>
    <w:p>
      <w:pPr>
        <w:pStyle w:val="nzIndenta"/>
      </w:pPr>
      <w:r>
        <w:tab/>
        <w:t>(c)</w:t>
      </w:r>
      <w:r>
        <w:tab/>
        <w:t>specify that one or more requirements apply in addition to those requirements,</w:t>
      </w:r>
    </w:p>
    <w:p>
      <w:pPr>
        <w:pStyle w:val="nzSubsection"/>
      </w:pPr>
      <w:r>
        <w:tab/>
      </w:r>
      <w:r>
        <w:tab/>
        <w:t>and, for the purposes of subregulation (1), those requirements have effect accordingly.</w:t>
      </w:r>
    </w:p>
    <w:p>
      <w:pPr>
        <w:pStyle w:val="MiscClose"/>
      </w:pPr>
      <w:r>
        <w:t xml:space="preserve">    ”.</w:t>
      </w:r>
    </w:p>
    <w:p>
      <w:pPr>
        <w:pStyle w:val="nzHeading5"/>
      </w:pPr>
      <w:bookmarkStart w:id="608" w:name="_Toc121624841"/>
      <w:bookmarkStart w:id="609" w:name="_Toc176064218"/>
      <w:bookmarkStart w:id="610" w:name="_Toc186854034"/>
      <w:r>
        <w:rPr>
          <w:rStyle w:val="CharSectno"/>
        </w:rPr>
        <w:t>38</w:t>
      </w:r>
      <w:r>
        <w:t>.</w:t>
      </w:r>
      <w:r>
        <w:tab/>
        <w:t>Regulations 49A and 49B inserted</w:t>
      </w:r>
      <w:bookmarkEnd w:id="608"/>
      <w:bookmarkEnd w:id="609"/>
      <w:bookmarkEnd w:id="610"/>
    </w:p>
    <w:p>
      <w:pPr>
        <w:pStyle w:val="nzSubsection"/>
      </w:pPr>
      <w:r>
        <w:tab/>
      </w:r>
      <w:r>
        <w:tab/>
        <w:t xml:space="preserve">After regulation 49 the following regulations are inserted — </w:t>
      </w:r>
    </w:p>
    <w:p>
      <w:pPr>
        <w:pStyle w:val="MiscOpen"/>
      </w:pPr>
      <w:r>
        <w:t xml:space="preserve">“    </w:t>
      </w:r>
    </w:p>
    <w:p>
      <w:pPr>
        <w:pStyle w:val="nzHeading5"/>
      </w:pPr>
      <w:bookmarkStart w:id="611" w:name="_Toc176064219"/>
      <w:bookmarkStart w:id="612" w:name="_Toc186854035"/>
      <w:r>
        <w:t>49A.</w:t>
      </w:r>
      <w:r>
        <w:tab/>
        <w:t>Designers of electrical installation to ensure design is safe etc.</w:t>
      </w:r>
      <w:bookmarkEnd w:id="611"/>
      <w:bookmarkEnd w:id="612"/>
    </w:p>
    <w:p>
      <w:pPr>
        <w:pStyle w:val="nzSubsection"/>
      </w:pPr>
      <w:r>
        <w:tab/>
      </w:r>
      <w:r>
        <w:tab/>
        <w:t xml:space="preserve">A person who designs an electrical installation is to ensure that — </w:t>
      </w:r>
    </w:p>
    <w:p>
      <w:pPr>
        <w:pStyle w:val="nzIndenta"/>
      </w:pPr>
      <w:r>
        <w:tab/>
        <w:t>(a)</w:t>
      </w:r>
      <w:r>
        <w:tab/>
        <w:t>the electrical installation is designed to be safe and to comply with any relevant requirement referred to in regulation 49(1); and</w:t>
      </w:r>
    </w:p>
    <w:p>
      <w:pPr>
        <w:pStyle w:val="nz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nzHeading5"/>
      </w:pPr>
      <w:bookmarkStart w:id="613" w:name="_Toc176064220"/>
      <w:bookmarkStart w:id="614" w:name="_Toc186854036"/>
      <w:r>
        <w:t>49B.</w:t>
      </w:r>
      <w:r>
        <w:tab/>
        <w:t>Electrical work to be carried out to safe standard and completed to trade finish</w:t>
      </w:r>
      <w:bookmarkEnd w:id="613"/>
      <w:bookmarkEnd w:id="614"/>
    </w:p>
    <w:p>
      <w:pPr>
        <w:pStyle w:val="nzSubsection"/>
      </w:pPr>
      <w:r>
        <w:tab/>
        <w:t>(1)</w:t>
      </w:r>
      <w:r>
        <w:tab/>
        <w:t xml:space="preserve">To the extent practicable and reasonable, a person is to ensure that when electrical work has been carried out by him or her — </w:t>
      </w:r>
    </w:p>
    <w:p>
      <w:pPr>
        <w:pStyle w:val="nzIndenta"/>
      </w:pPr>
      <w:r>
        <w:tab/>
        <w:t>(a)</w:t>
      </w:r>
      <w:r>
        <w:tab/>
        <w:t>the thing on which the work was performed is safe to use; and</w:t>
      </w:r>
    </w:p>
    <w:p>
      <w:pPr>
        <w:pStyle w:val="nzIndenta"/>
      </w:pPr>
      <w:r>
        <w:tab/>
        <w:t>(b)</w:t>
      </w:r>
      <w:r>
        <w:tab/>
        <w:t>the work has been completed to a trade finish.</w:t>
      </w:r>
    </w:p>
    <w:p>
      <w:pPr>
        <w:pStyle w:val="nzSubsection"/>
      </w:pPr>
      <w:r>
        <w:tab/>
        <w:t>(2)</w:t>
      </w:r>
      <w:r>
        <w:tab/>
        <w:t xml:space="preserve">Subregulation (1)(a) is taken to be complied with if the electrical work has been carried out in accordance with — </w:t>
      </w:r>
    </w:p>
    <w:p>
      <w:pPr>
        <w:pStyle w:val="nzIndenta"/>
      </w:pPr>
      <w:r>
        <w:tab/>
        <w:t>(a)</w:t>
      </w:r>
      <w:r>
        <w:tab/>
        <w:t>the requirements referred to in regulation 49(1)(a) and (b); and</w:t>
      </w:r>
    </w:p>
    <w:p>
      <w:pPr>
        <w:pStyle w:val="nzIndenta"/>
      </w:pPr>
      <w:r>
        <w:tab/>
        <w:t>(b)</w:t>
      </w:r>
      <w:r>
        <w:tab/>
        <w:t>the requirements of each relevant standard (if any) referred to in regulation 49(1).</w:t>
      </w:r>
    </w:p>
    <w:p>
      <w:pPr>
        <w:pStyle w:val="MiscClose"/>
      </w:pPr>
      <w:r>
        <w:t xml:space="preserve">    ”.</w:t>
      </w:r>
    </w:p>
    <w:p>
      <w:pPr>
        <w:pStyle w:val="nzHeading5"/>
      </w:pPr>
      <w:bookmarkStart w:id="615" w:name="_Toc121624842"/>
      <w:bookmarkStart w:id="616" w:name="_Toc176064221"/>
      <w:bookmarkStart w:id="617" w:name="_Toc186854037"/>
      <w:r>
        <w:rPr>
          <w:rStyle w:val="CharSectno"/>
        </w:rPr>
        <w:t>39</w:t>
      </w:r>
      <w:r>
        <w:t>.</w:t>
      </w:r>
      <w:r>
        <w:tab/>
        <w:t>Regulation 50 amended</w:t>
      </w:r>
      <w:bookmarkEnd w:id="615"/>
      <w:bookmarkEnd w:id="616"/>
      <w:bookmarkEnd w:id="617"/>
    </w:p>
    <w:p>
      <w:pPr>
        <w:pStyle w:val="nzSubsection"/>
      </w:pPr>
      <w:r>
        <w:tab/>
        <w:t>(1)</w:t>
      </w:r>
      <w:r>
        <w:tab/>
        <w:t>Regulation 50(2) is amended as follows:</w:t>
      </w:r>
    </w:p>
    <w:p>
      <w:pPr>
        <w:pStyle w:val="nzIndenta"/>
      </w:pPr>
      <w:r>
        <w:tab/>
        <w:t>(a)</w:t>
      </w:r>
      <w:r>
        <w:tab/>
        <w:t xml:space="preserve">by deleting “licensed” and inserting instead — </w:t>
      </w:r>
    </w:p>
    <w:p>
      <w:pPr>
        <w:pStyle w:val="nzIndenta"/>
      </w:pPr>
      <w:r>
        <w:tab/>
      </w:r>
      <w:r>
        <w:tab/>
        <w:t>“    authorised by a licence or permit    ”;</w:t>
      </w:r>
    </w:p>
    <w:p>
      <w:pPr>
        <w:pStyle w:val="nzIndenta"/>
      </w:pPr>
      <w:r>
        <w:tab/>
        <w:t>(b)</w:t>
      </w:r>
      <w:r>
        <w:tab/>
        <w:t xml:space="preserve">after “supervision” by inserting — </w:t>
      </w:r>
    </w:p>
    <w:p>
      <w:pPr>
        <w:pStyle w:val="MiscOpen"/>
        <w:ind w:left="879"/>
      </w:pPr>
      <w:r>
        <w:t xml:space="preserve">“    </w:t>
      </w:r>
    </w:p>
    <w:p>
      <w:pPr>
        <w:pStyle w:val="nzSubsection"/>
      </w:pPr>
      <w:r>
        <w:tab/>
      </w:r>
      <w:r>
        <w:tab/>
        <w:t>or if the person carrying out the electrical work is not required under these regulations to be authorised by a licence or permit to carry it out</w:t>
      </w:r>
    </w:p>
    <w:p>
      <w:pPr>
        <w:pStyle w:val="MiscClose"/>
        <w:keepLines w:val="0"/>
        <w:widowControl w:val="0"/>
      </w:pPr>
      <w:r>
        <w:t xml:space="preserve">    ”.</w:t>
      </w:r>
    </w:p>
    <w:p>
      <w:pPr>
        <w:pStyle w:val="nzSubsection"/>
      </w:pPr>
      <w:r>
        <w:tab/>
        <w:t>(2)</w:t>
      </w:r>
      <w:r>
        <w:tab/>
        <w:t xml:space="preserve">Regulation 50(3)(a) is amended by deleting “licensed” and inserting instead — </w:t>
      </w:r>
    </w:p>
    <w:p>
      <w:pPr>
        <w:pStyle w:val="nzSubsection"/>
      </w:pPr>
      <w:r>
        <w:tab/>
      </w:r>
      <w:r>
        <w:tab/>
        <w:t>“    authorised by a licence or permit    ”.</w:t>
      </w:r>
    </w:p>
    <w:p>
      <w:pPr>
        <w:pStyle w:val="nzSubsection"/>
      </w:pPr>
      <w:r>
        <w:tab/>
        <w:t>(3)</w:t>
      </w:r>
      <w:r>
        <w:tab/>
        <w:t xml:space="preserve">After regulation 50(4) the following subregulation is inserted — </w:t>
      </w:r>
    </w:p>
    <w:p>
      <w:pPr>
        <w:pStyle w:val="MiscOpen"/>
        <w:ind w:left="600"/>
      </w:pPr>
      <w:r>
        <w:t xml:space="preserve">“    </w:t>
      </w:r>
    </w:p>
    <w:p>
      <w:pPr>
        <w:pStyle w:val="nz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nzIndenta"/>
      </w:pPr>
      <w:r>
        <w:tab/>
        <w:t>(a)</w:t>
      </w:r>
      <w:r>
        <w:tab/>
        <w:t>that he or she is not competent to carry out; or</w:t>
      </w:r>
    </w:p>
    <w:p>
      <w:pPr>
        <w:pStyle w:val="nzIndenta"/>
      </w:pPr>
      <w:r>
        <w:tab/>
        <w:t>(b)</w:t>
      </w:r>
      <w:r>
        <w:tab/>
        <w:t>that would, or would likely, endanger him or her or another person.</w:t>
      </w:r>
    </w:p>
    <w:p>
      <w:pPr>
        <w:pStyle w:val="MiscClose"/>
      </w:pPr>
      <w:r>
        <w:t xml:space="preserve">    ”.</w:t>
      </w:r>
    </w:p>
    <w:p>
      <w:pPr>
        <w:pStyle w:val="nzHeading5"/>
      </w:pPr>
      <w:bookmarkStart w:id="618" w:name="_Toc121624843"/>
      <w:bookmarkStart w:id="619" w:name="_Toc176064222"/>
      <w:bookmarkStart w:id="620" w:name="_Toc186854038"/>
      <w:r>
        <w:rPr>
          <w:rStyle w:val="CharSectno"/>
        </w:rPr>
        <w:t>40</w:t>
      </w:r>
      <w:r>
        <w:t>.</w:t>
      </w:r>
      <w:r>
        <w:tab/>
        <w:t>Regulations 50AA and 50AB inserted</w:t>
      </w:r>
      <w:bookmarkEnd w:id="618"/>
      <w:bookmarkEnd w:id="619"/>
      <w:bookmarkEnd w:id="620"/>
    </w:p>
    <w:p>
      <w:pPr>
        <w:pStyle w:val="nzSubsection"/>
      </w:pPr>
      <w:r>
        <w:tab/>
      </w:r>
      <w:r>
        <w:tab/>
        <w:t xml:space="preserve">After regulation 50 the following regulations are inserted — </w:t>
      </w:r>
    </w:p>
    <w:p>
      <w:pPr>
        <w:pStyle w:val="MiscOpen"/>
      </w:pPr>
      <w:r>
        <w:t xml:space="preserve">“    </w:t>
      </w:r>
    </w:p>
    <w:p>
      <w:pPr>
        <w:pStyle w:val="nzHeading5"/>
      </w:pPr>
      <w:bookmarkStart w:id="621" w:name="_Toc176064223"/>
      <w:bookmarkStart w:id="622" w:name="_Toc186854039"/>
      <w:r>
        <w:t>50AA.</w:t>
      </w:r>
      <w:r>
        <w:tab/>
        <w:t>Requirement to be informed of experience and competence of apprentices etc.</w:t>
      </w:r>
      <w:bookmarkEnd w:id="621"/>
      <w:bookmarkEnd w:id="622"/>
    </w:p>
    <w:p>
      <w:pPr>
        <w:pStyle w:val="nzSubsection"/>
      </w:pPr>
      <w:r>
        <w:tab/>
        <w:t>(1)</w:t>
      </w:r>
      <w:r>
        <w:tab/>
        <w:t xml:space="preserve">In this regulation — </w:t>
      </w:r>
    </w:p>
    <w:p>
      <w:pPr>
        <w:pStyle w:val="nzDefstart"/>
      </w:pPr>
      <w:r>
        <w:tab/>
      </w:r>
      <w:r>
        <w:rPr>
          <w:b/>
        </w:rPr>
        <w:t>“</w:t>
      </w:r>
      <w:r>
        <w:rPr>
          <w:rStyle w:val="CharDefText"/>
        </w:rPr>
        <w:t>electrical worker in training</w:t>
      </w:r>
      <w:r>
        <w:rPr>
          <w:b/>
        </w:rPr>
        <w:t>”</w:t>
      </w:r>
      <w:r>
        <w:t xml:space="preserve"> means an electrical worker who is an apprentice or who is undergoing a course of training;</w:t>
      </w:r>
    </w:p>
    <w:p>
      <w:pPr>
        <w:pStyle w:val="nzDefstart"/>
      </w:pPr>
      <w:r>
        <w:tab/>
      </w:r>
      <w:r>
        <w:rPr>
          <w:b/>
        </w:rPr>
        <w:t>“</w:t>
      </w:r>
      <w:r>
        <w:rPr>
          <w:rStyle w:val="CharDefText"/>
        </w:rPr>
        <w:t>person employing an electrical worker in training</w:t>
      </w:r>
      <w:r>
        <w:rPr>
          <w:b/>
        </w:rPr>
        <w:t>”</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nzDefstart"/>
      </w:pPr>
      <w:r>
        <w:tab/>
      </w:r>
      <w:r>
        <w:rPr>
          <w:b/>
        </w:rPr>
        <w:t>“</w:t>
      </w:r>
      <w:r>
        <w:rPr>
          <w:rStyle w:val="CharDefText"/>
        </w:rPr>
        <w:t>supervising electrical worker</w:t>
      </w:r>
      <w:r>
        <w:rPr>
          <w:b/>
        </w:rPr>
        <w:t>”</w:t>
      </w:r>
      <w:r>
        <w:t xml:space="preserve"> has the meaning given in regulation 50(3).</w:t>
      </w:r>
    </w:p>
    <w:p>
      <w:pPr>
        <w:pStyle w:val="nz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nz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nzHeading5"/>
      </w:pPr>
      <w:bookmarkStart w:id="623" w:name="_Toc176064224"/>
      <w:bookmarkStart w:id="624" w:name="_Toc186854040"/>
      <w:r>
        <w:t>50AB.</w:t>
      </w:r>
      <w:r>
        <w:tab/>
        <w:t>Employer to be satisfied that former apprentice has successfully completed training</w:t>
      </w:r>
      <w:bookmarkEnd w:id="623"/>
      <w:bookmarkEnd w:id="624"/>
    </w:p>
    <w:p>
      <w:pPr>
        <w:pStyle w:val="nzSubsection"/>
      </w:pPr>
      <w:r>
        <w:tab/>
      </w:r>
      <w:r>
        <w:tab/>
        <w:t xml:space="preserve">A person (the </w:t>
      </w:r>
      <w:r>
        <w:rPr>
          <w:b/>
        </w:rPr>
        <w:t>“</w:t>
      </w:r>
      <w:r>
        <w:rPr>
          <w:rStyle w:val="CharDefText"/>
        </w:rPr>
        <w:t>employer</w:t>
      </w:r>
      <w:r>
        <w:rPr>
          <w:b/>
        </w:rPr>
        <w:t>”</w:t>
      </w:r>
      <w:r>
        <w:t xml:space="preserve">) is not to employ to carry out electrical work another person (the </w:t>
      </w:r>
      <w:r>
        <w:rPr>
          <w:b/>
        </w:rPr>
        <w:t>“</w:t>
      </w:r>
      <w:r>
        <w:rPr>
          <w:rStyle w:val="CharDefText"/>
        </w:rPr>
        <w:t>former apprentice</w:t>
      </w:r>
      <w:r>
        <w:rPr>
          <w:b/>
        </w:rPr>
        <w:t>”</w:t>
      </w:r>
      <w:r>
        <w:rPr>
          <w:bCs/>
        </w:rPr>
        <w:t>) </w:t>
      </w:r>
      <w:r>
        <w:t xml:space="preserve">— </w:t>
      </w:r>
    </w:p>
    <w:p>
      <w:pPr>
        <w:pStyle w:val="nzIndenta"/>
      </w:pPr>
      <w:r>
        <w:tab/>
        <w:t>(a)</w:t>
      </w:r>
      <w:r>
        <w:tab/>
        <w:t>who holds an electrician’s training licence; and</w:t>
      </w:r>
    </w:p>
    <w:p>
      <w:pPr>
        <w:pStyle w:val="nzIndenta"/>
      </w:pPr>
      <w:r>
        <w:tab/>
        <w:t>(b)</w:t>
      </w:r>
      <w:r>
        <w:tab/>
        <w:t>who purports to have completed the apprenticeship or course of training relevant to that licence,</w:t>
      </w:r>
    </w:p>
    <w:p>
      <w:pPr>
        <w:pStyle w:val="nzSubsection"/>
      </w:pPr>
      <w:r>
        <w:tab/>
      </w:r>
      <w:r>
        <w:tab/>
        <w:t>unless the employer has taken all reasonable steps to be satisfied that the former apprentice has successfully completed the apprenticeship or course of training and has applied for an electrician’s licence.</w:t>
      </w:r>
    </w:p>
    <w:p>
      <w:pPr>
        <w:pStyle w:val="MiscClose"/>
      </w:pPr>
      <w:r>
        <w:t xml:space="preserve">    ”.</w:t>
      </w:r>
    </w:p>
    <w:p>
      <w:pPr>
        <w:pStyle w:val="nzHeading5"/>
      </w:pPr>
      <w:bookmarkStart w:id="625" w:name="_Toc121624844"/>
      <w:bookmarkStart w:id="626" w:name="_Toc176064225"/>
      <w:bookmarkStart w:id="627" w:name="_Toc186854041"/>
      <w:r>
        <w:rPr>
          <w:rStyle w:val="CharSectno"/>
        </w:rPr>
        <w:t>41</w:t>
      </w:r>
      <w:r>
        <w:t>.</w:t>
      </w:r>
      <w:r>
        <w:tab/>
        <w:t>Regulation 50A amended</w:t>
      </w:r>
      <w:bookmarkEnd w:id="625"/>
      <w:bookmarkEnd w:id="626"/>
      <w:bookmarkEnd w:id="627"/>
    </w:p>
    <w:p>
      <w:pPr>
        <w:pStyle w:val="nzSubsection"/>
      </w:pPr>
      <w:r>
        <w:tab/>
      </w:r>
      <w:r>
        <w:tab/>
        <w:t>Regulation 50A is amended as follows:</w:t>
      </w:r>
    </w:p>
    <w:p>
      <w:pPr>
        <w:pStyle w:val="nzIndenta"/>
      </w:pPr>
      <w:r>
        <w:tab/>
        <w:t>(a)</w:t>
      </w:r>
      <w:r>
        <w:tab/>
        <w:t>before “A” by inserting the subregulation designation “(1)”;</w:t>
      </w:r>
    </w:p>
    <w:p>
      <w:pPr>
        <w:pStyle w:val="nzIndenta"/>
      </w:pPr>
      <w:r>
        <w:tab/>
        <w:t>(b)</w:t>
      </w:r>
      <w:r>
        <w:tab/>
        <w:t xml:space="preserve">at the end of the regulation by inserting the following subregulation — </w:t>
      </w:r>
    </w:p>
    <w:p>
      <w:pPr>
        <w:pStyle w:val="MiscOpen"/>
        <w:ind w:left="595"/>
      </w:pPr>
      <w:r>
        <w:t xml:space="preserve">“    </w:t>
      </w:r>
    </w:p>
    <w:p>
      <w:pPr>
        <w:pStyle w:val="nzSubsection"/>
      </w:pPr>
      <w:r>
        <w:tab/>
        <w:t>(2)</w:t>
      </w:r>
      <w:r>
        <w:tab/>
        <w:t xml:space="preserve">It is a defence in proceedings for an offence under subregulation (1) for the person charged to prove that — </w:t>
      </w:r>
    </w:p>
    <w:p>
      <w:pPr>
        <w:pStyle w:val="nzIndenta"/>
      </w:pPr>
      <w:r>
        <w:tab/>
        <w:t>(a)</w:t>
      </w:r>
      <w:r>
        <w:tab/>
        <w:t>the person did not carry out the electrical work concerned; and</w:t>
      </w:r>
    </w:p>
    <w:p>
      <w:pPr>
        <w:pStyle w:val="nzIndenta"/>
      </w:pPr>
      <w:r>
        <w:tab/>
        <w:t>(b)</w:t>
      </w:r>
      <w:r>
        <w:tab/>
        <w:t>as soon as practicable after becoming aware that the wiring or equipment was in an unsafe condition the person took reasonable steps to try to have it disconnected or repaired; and</w:t>
      </w:r>
    </w:p>
    <w:p>
      <w:pPr>
        <w:pStyle w:val="nzIndenta"/>
      </w:pPr>
      <w:r>
        <w:tab/>
        <w:t>(c)</w:t>
      </w:r>
      <w:r>
        <w:tab/>
        <w:t>the owner or occupier of the premises where the wiring or equipment is located would not permit it to be disconnected or repaired.</w:t>
      </w:r>
    </w:p>
    <w:p>
      <w:pPr>
        <w:pStyle w:val="MiscClose"/>
      </w:pPr>
      <w:r>
        <w:t xml:space="preserve">    ”.</w:t>
      </w:r>
    </w:p>
    <w:p>
      <w:pPr>
        <w:pStyle w:val="nzHeading5"/>
      </w:pPr>
      <w:bookmarkStart w:id="628" w:name="_Toc121624845"/>
      <w:bookmarkStart w:id="629" w:name="_Toc176064226"/>
      <w:bookmarkStart w:id="630" w:name="_Toc186854042"/>
      <w:r>
        <w:rPr>
          <w:rStyle w:val="CharSectno"/>
        </w:rPr>
        <w:t>42</w:t>
      </w:r>
      <w:r>
        <w:t>.</w:t>
      </w:r>
      <w:r>
        <w:tab/>
        <w:t>Regulation 51 amended</w:t>
      </w:r>
      <w:bookmarkEnd w:id="628"/>
      <w:bookmarkEnd w:id="629"/>
      <w:bookmarkEnd w:id="630"/>
    </w:p>
    <w:p>
      <w:pPr>
        <w:pStyle w:val="nzSubsection"/>
      </w:pPr>
      <w:r>
        <w:tab/>
        <w:t>(1)</w:t>
      </w:r>
      <w:r>
        <w:tab/>
        <w:t>Regulation 51(1) is repealed and the following subregulation is inserted instead —</w:t>
      </w:r>
    </w:p>
    <w:p>
      <w:pPr>
        <w:pStyle w:val="MiscOpen"/>
        <w:ind w:left="600"/>
      </w:pPr>
      <w:r>
        <w:t xml:space="preserve">“    </w:t>
      </w:r>
    </w:p>
    <w:p>
      <w:pPr>
        <w:pStyle w:val="nzSubsection"/>
      </w:pPr>
      <w:r>
        <w:tab/>
        <w:t>(1)</w:t>
      </w:r>
      <w:r>
        <w:tab/>
        <w:t>Subject to subregulation (2), an electrical contractor who carries out any notifiable work, or causes any notifiable work to be carried out, commits an offence unless preliminary notice of the proposed notifiable work is prepared by the electrical contractor and delivered to the relevant network operator at the required time.</w:t>
      </w:r>
    </w:p>
    <w:p>
      <w:pPr>
        <w:pStyle w:val="MiscClose"/>
      </w:pPr>
      <w:r>
        <w:t xml:space="preserve">    ”.</w:t>
      </w:r>
    </w:p>
    <w:p>
      <w:pPr>
        <w:pStyle w:val="nzSubsection"/>
      </w:pPr>
      <w:r>
        <w:tab/>
        <w:t>(2)</w:t>
      </w:r>
      <w:r>
        <w:tab/>
        <w:t xml:space="preserve">Regulation 51(2) is amended by deleting “electrical installing” and inserting instead — </w:t>
      </w:r>
    </w:p>
    <w:p>
      <w:pPr>
        <w:pStyle w:val="nzSubsection"/>
      </w:pPr>
      <w:r>
        <w:tab/>
      </w:r>
      <w:r>
        <w:tab/>
        <w:t>“    notifiable    ”.</w:t>
      </w:r>
    </w:p>
    <w:p>
      <w:pPr>
        <w:pStyle w:val="nzSubsection"/>
      </w:pPr>
      <w:r>
        <w:tab/>
        <w:t>(3)</w:t>
      </w:r>
      <w:r>
        <w:tab/>
        <w:t>Regulation 51(3) is amended as follows:</w:t>
      </w:r>
    </w:p>
    <w:p>
      <w:pPr>
        <w:pStyle w:val="nzIndenta"/>
      </w:pPr>
      <w:r>
        <w:tab/>
        <w:t>(a)</w:t>
      </w:r>
      <w:r>
        <w:tab/>
        <w:t>by deleting the definition of “electrical installing work”;</w:t>
      </w:r>
    </w:p>
    <w:p>
      <w:pPr>
        <w:pStyle w:val="nzIndenta"/>
      </w:pPr>
      <w:r>
        <w:tab/>
        <w:t>(b)</w:t>
      </w:r>
      <w:r>
        <w:tab/>
        <w:t xml:space="preserve">in the definition of “the required time”, by deleting “electrical installing” in each place where it occurs and inserting instead — </w:t>
      </w:r>
    </w:p>
    <w:p>
      <w:pPr>
        <w:pStyle w:val="nzIndenta"/>
      </w:pPr>
      <w:r>
        <w:tab/>
      </w:r>
      <w:r>
        <w:tab/>
        <w:t>“    notifiable    ”.</w:t>
      </w:r>
    </w:p>
    <w:p>
      <w:pPr>
        <w:pStyle w:val="nzHeading5"/>
      </w:pPr>
      <w:bookmarkStart w:id="631" w:name="_Toc121624846"/>
      <w:bookmarkStart w:id="632" w:name="_Toc176064227"/>
      <w:bookmarkStart w:id="633" w:name="_Toc186854043"/>
      <w:r>
        <w:rPr>
          <w:rStyle w:val="CharSectno"/>
        </w:rPr>
        <w:t>43</w:t>
      </w:r>
      <w:r>
        <w:t>.</w:t>
      </w:r>
      <w:r>
        <w:tab/>
        <w:t>Regulation 52 amended</w:t>
      </w:r>
      <w:bookmarkEnd w:id="631"/>
      <w:bookmarkEnd w:id="632"/>
      <w:bookmarkEnd w:id="633"/>
    </w:p>
    <w:p>
      <w:pPr>
        <w:pStyle w:val="nzSubsection"/>
      </w:pPr>
      <w:r>
        <w:tab/>
        <w:t>(1)</w:t>
      </w:r>
      <w:r>
        <w:tab/>
        <w:t xml:space="preserve">Regulation 52(1) is repealed and the following subregulations are inserted instead — </w:t>
      </w:r>
    </w:p>
    <w:p>
      <w:pPr>
        <w:pStyle w:val="MiscOpen"/>
        <w:ind w:left="600"/>
      </w:pPr>
      <w:r>
        <w:t xml:space="preserve">“    </w:t>
      </w:r>
    </w:p>
    <w:p>
      <w:pPr>
        <w:pStyle w:val="nzSubsection"/>
      </w:pPr>
      <w:r>
        <w:tab/>
        <w:t>(1)</w:t>
      </w:r>
      <w:r>
        <w:tab/>
        <w:t>Subject to subregulation (2),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nzSubsection"/>
      </w:pPr>
      <w:r>
        <w:br w:type="page"/>
      </w:r>
      <w:r>
        <w:tab/>
        <w:t>(1a)</w:t>
      </w:r>
      <w:r>
        <w:tab/>
        <w:t>An electrical contractor who fails to keep a copy of the notice of completion for the period of 5 years after the completion of the notifiable work commits an offence.</w:t>
      </w:r>
    </w:p>
    <w:p>
      <w:pPr>
        <w:pStyle w:val="MiscClose"/>
      </w:pPr>
      <w:r>
        <w:t xml:space="preserve">    ”.</w:t>
      </w:r>
    </w:p>
    <w:p>
      <w:pPr>
        <w:pStyle w:val="nzSubsection"/>
      </w:pPr>
      <w:r>
        <w:tab/>
        <w:t>(2)</w:t>
      </w:r>
      <w:r>
        <w:tab/>
        <w:t xml:space="preserve">Regulation 52(2) is amended by deleting “electrical installing” and inserting instead — </w:t>
      </w:r>
    </w:p>
    <w:p>
      <w:pPr>
        <w:pStyle w:val="nzSubsection"/>
      </w:pPr>
      <w:r>
        <w:tab/>
      </w:r>
      <w:r>
        <w:tab/>
        <w:t>“    notifiable    ”.</w:t>
      </w:r>
    </w:p>
    <w:p>
      <w:pPr>
        <w:pStyle w:val="nzSubsection"/>
      </w:pPr>
      <w:r>
        <w:tab/>
        <w:t>(3)</w:t>
      </w:r>
      <w:r>
        <w:tab/>
        <w:t xml:space="preserve">After regulation 52(2) the following subregulation is inserted — </w:t>
      </w:r>
    </w:p>
    <w:p>
      <w:pPr>
        <w:pStyle w:val="MiscOpen"/>
        <w:ind w:left="595"/>
      </w:pPr>
      <w:r>
        <w:t xml:space="preserve">“    </w:t>
      </w:r>
    </w:p>
    <w:p>
      <w:pPr>
        <w:pStyle w:val="nz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MiscClose"/>
      </w:pPr>
      <w:r>
        <w:t xml:space="preserve">    ”.</w:t>
      </w:r>
    </w:p>
    <w:p>
      <w:pPr>
        <w:pStyle w:val="nzSubsection"/>
      </w:pPr>
      <w:r>
        <w:tab/>
        <w:t>(4)</w:t>
      </w:r>
      <w:r>
        <w:tab/>
        <w:t xml:space="preserve">Regulation 52(3) is amended by deleting “electrical installing” and inserting instead — </w:t>
      </w:r>
    </w:p>
    <w:p>
      <w:pPr>
        <w:pStyle w:val="nzSubsection"/>
      </w:pPr>
      <w:r>
        <w:tab/>
      </w:r>
      <w:r>
        <w:tab/>
        <w:t>“    notifiable    ”.</w:t>
      </w:r>
    </w:p>
    <w:p>
      <w:pPr>
        <w:pStyle w:val="nzSubsection"/>
      </w:pPr>
      <w:r>
        <w:tab/>
        <w:t>(5)</w:t>
      </w:r>
      <w:r>
        <w:tab/>
        <w:t>Regulation 52(4) is repealed.</w:t>
      </w:r>
    </w:p>
    <w:p>
      <w:pPr>
        <w:pStyle w:val="nzHeading5"/>
      </w:pPr>
      <w:bookmarkStart w:id="634" w:name="_Toc121624847"/>
      <w:bookmarkStart w:id="635" w:name="_Toc176064228"/>
      <w:bookmarkStart w:id="636" w:name="_Toc186854044"/>
      <w:r>
        <w:rPr>
          <w:rStyle w:val="CharSectno"/>
        </w:rPr>
        <w:t>44</w:t>
      </w:r>
      <w:r>
        <w:t>.</w:t>
      </w:r>
      <w:r>
        <w:tab/>
        <w:t>Regulations 52A, 52B and 52C inserted</w:t>
      </w:r>
      <w:bookmarkEnd w:id="634"/>
      <w:bookmarkEnd w:id="635"/>
      <w:bookmarkEnd w:id="636"/>
    </w:p>
    <w:p>
      <w:pPr>
        <w:pStyle w:val="nzSubsection"/>
      </w:pPr>
      <w:r>
        <w:tab/>
      </w:r>
      <w:r>
        <w:tab/>
        <w:t xml:space="preserve">After regulation 52 the following regulations are inserted — </w:t>
      </w:r>
    </w:p>
    <w:p>
      <w:pPr>
        <w:pStyle w:val="MiscOpen"/>
      </w:pPr>
      <w:r>
        <w:t xml:space="preserve">“    </w:t>
      </w:r>
    </w:p>
    <w:p>
      <w:pPr>
        <w:pStyle w:val="nzHeading5"/>
      </w:pPr>
      <w:bookmarkStart w:id="637" w:name="_Toc176064229"/>
      <w:bookmarkStart w:id="638" w:name="_Toc186854045"/>
      <w:r>
        <w:t>52A.</w:t>
      </w:r>
      <w:r>
        <w:tab/>
        <w:t>Notices sent to relevant network operator</w:t>
      </w:r>
      <w:bookmarkEnd w:id="637"/>
      <w:bookmarkEnd w:id="638"/>
    </w:p>
    <w:p>
      <w:pPr>
        <w:pStyle w:val="nzSubsection"/>
      </w:pPr>
      <w:r>
        <w:tab/>
        <w:t>(1)</w:t>
      </w:r>
      <w:r>
        <w:tab/>
        <w:t xml:space="preserve">In this regulation — </w:t>
      </w:r>
    </w:p>
    <w:p>
      <w:pPr>
        <w:pStyle w:val="nzDefstart"/>
      </w:pPr>
      <w:r>
        <w:tab/>
      </w:r>
      <w:r>
        <w:rPr>
          <w:b/>
        </w:rPr>
        <w:t>“</w:t>
      </w:r>
      <w:r>
        <w:rPr>
          <w:rStyle w:val="CharDefText"/>
        </w:rPr>
        <w:t>notice of completion</w:t>
      </w:r>
      <w:r>
        <w:rPr>
          <w:b/>
        </w:rPr>
        <w:t>”</w:t>
      </w:r>
      <w:r>
        <w:t xml:space="preserve"> means a notice of completion under regulation 52.</w:t>
      </w:r>
    </w:p>
    <w:p>
      <w:pPr>
        <w:pStyle w:val="nzDefstart"/>
      </w:pPr>
      <w:r>
        <w:tab/>
      </w:r>
      <w:r>
        <w:rPr>
          <w:b/>
        </w:rPr>
        <w:t>“</w:t>
      </w:r>
      <w:r>
        <w:rPr>
          <w:rStyle w:val="CharDefText"/>
        </w:rPr>
        <w:t>preliminary notice</w:t>
      </w:r>
      <w:r>
        <w:rPr>
          <w:b/>
        </w:rPr>
        <w:t>”</w:t>
      </w:r>
      <w:r>
        <w:t xml:space="preserve"> means preliminary notice under regulation 51;</w:t>
      </w:r>
    </w:p>
    <w:p>
      <w:pPr>
        <w:pStyle w:val="nzSubsection"/>
      </w:pPr>
      <w:r>
        <w:tab/>
        <w:t>(2)</w:t>
      </w:r>
      <w:r>
        <w:tab/>
        <w:t xml:space="preserve">Without limiting the </w:t>
      </w:r>
      <w:r>
        <w:rPr>
          <w:i/>
        </w:rPr>
        <w:t>Interpretation Act 1984</w:t>
      </w:r>
      <w:r>
        <w:t xml:space="preserve"> sections 75 and 76, preliminary notice or a notice of completion may be delivered to the relevant network operator — </w:t>
      </w:r>
    </w:p>
    <w:p>
      <w:pPr>
        <w:pStyle w:val="nzIndenta"/>
      </w:pPr>
      <w:r>
        <w:tab/>
        <w:t>(a)</w:t>
      </w:r>
      <w:r>
        <w:tab/>
        <w:t>by facsimile transmission to a facsimile number provided by the network operator; or</w:t>
      </w:r>
    </w:p>
    <w:p>
      <w:pPr>
        <w:pStyle w:val="nzIndenta"/>
      </w:pPr>
      <w:r>
        <w:tab/>
        <w:t>(b)</w:t>
      </w:r>
      <w:r>
        <w:tab/>
        <w:t>by a means of electronic communication approved by the Director.</w:t>
      </w:r>
    </w:p>
    <w:p>
      <w:pPr>
        <w:pStyle w:val="nz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nzSubsection"/>
      </w:pPr>
      <w:r>
        <w:tab/>
        <w:t>(4)</w:t>
      </w:r>
      <w:r>
        <w:tab/>
        <w:t xml:space="preserve">If the relevant network operator is given a notice by an electrical contractor under subregulation (2)(b), the network operator is to give to the electrical contractor a receipt, which, without limiting the </w:t>
      </w:r>
      <w:r>
        <w:rPr>
          <w:i/>
        </w:rPr>
        <w:t>Interpretation Act 1984</w:t>
      </w:r>
      <w:r>
        <w:t xml:space="preserve"> sections 75 and 76, may be given by a means of electronic communication approved by the Director.</w:t>
      </w:r>
    </w:p>
    <w:p>
      <w:pPr>
        <w:pStyle w:val="nzSubsection"/>
      </w:pPr>
      <w:r>
        <w:tab/>
        <w:t>(5)</w:t>
      </w:r>
      <w:r>
        <w:tab/>
        <w:t>A person who gives preliminary notice or a notice of completion that the person knows to be false or misleading commits an offence.</w:t>
      </w:r>
    </w:p>
    <w:p>
      <w:pPr>
        <w:pStyle w:val="nzHeading5"/>
      </w:pPr>
      <w:bookmarkStart w:id="639" w:name="_Toc176064230"/>
      <w:bookmarkStart w:id="640" w:name="_Toc186854046"/>
      <w:r>
        <w:t>52B.</w:t>
      </w:r>
      <w:r>
        <w:tab/>
        <w:t>Certificates of compliance</w:t>
      </w:r>
      <w:bookmarkEnd w:id="639"/>
      <w:bookmarkEnd w:id="640"/>
    </w:p>
    <w:p>
      <w:pPr>
        <w:pStyle w:val="nzSubsection"/>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 certificate of compliance, in a form approved by the Director and duly completed, is prepared by the electrical contractor in respect of the electrical installing work and delivered to the person for whom the work was carried out.</w:t>
      </w:r>
    </w:p>
    <w:p>
      <w:pPr>
        <w:pStyle w:val="nzSubsection"/>
      </w:pPr>
      <w:r>
        <w:tab/>
        <w:t>(2)</w:t>
      </w:r>
      <w:r>
        <w:tab/>
        <w:t>An electrical contractor who fails to keep a copy of the certificate of compliance for the period of 5 years after the completion of the electrical installing work commits an offence.</w:t>
      </w:r>
    </w:p>
    <w:p>
      <w:pPr>
        <w:pStyle w:val="nzSubsection"/>
      </w:pPr>
      <w:r>
        <w:tab/>
        <w:t>(3)</w:t>
      </w:r>
      <w:r>
        <w:tab/>
        <w:t>Subregulation (1) does not apply to in</w:t>
      </w:r>
      <w:r>
        <w:noBreakHyphen/>
        <w:t>house electrical installing work carried out under the authority of an in</w:t>
      </w:r>
      <w:r>
        <w:noBreakHyphen/>
        <w:t>house electrical installing work licence.</w:t>
      </w:r>
    </w:p>
    <w:p>
      <w:pPr>
        <w:pStyle w:val="nzSubsection"/>
      </w:pPr>
      <w:r>
        <w:tab/>
        <w:t>(4)</w:t>
      </w:r>
      <w:r>
        <w:tab/>
        <w:t xml:space="preserve">A certificate of compliance is not duly completed unless — </w:t>
      </w:r>
    </w:p>
    <w:p>
      <w:pPr>
        <w:pStyle w:val="nzIndenta"/>
      </w:pPr>
      <w:r>
        <w:tab/>
        <w:t>(a)</w:t>
      </w:r>
      <w:r>
        <w:tab/>
        <w:t>it is completed by the relevant electrical contractor or, if subregulation (5) applies, by the electrical worker; and</w:t>
      </w:r>
    </w:p>
    <w:p>
      <w:pPr>
        <w:pStyle w:val="nzIndenta"/>
      </w:pPr>
      <w:r>
        <w:tab/>
        <w:t>(b)</w:t>
      </w:r>
      <w:r>
        <w:tab/>
        <w:t>it is given an identifying number that is not given to any other certificate of compliance given by or on behalf of the electrical contractor; and</w:t>
      </w:r>
    </w:p>
    <w:p>
      <w:pPr>
        <w:pStyle w:val="nzIndenta"/>
      </w:pPr>
      <w:r>
        <w:tab/>
        <w:t>(c)</w:t>
      </w:r>
      <w:r>
        <w:tab/>
        <w:t>it states the number of the electrical contractor’s licence and, if subregulation (5) applies, the number of the electrical worker’s licence or permit; and</w:t>
      </w:r>
    </w:p>
    <w:p>
      <w:pPr>
        <w:pStyle w:val="nz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nzIndenta"/>
      </w:pPr>
      <w:r>
        <w:tab/>
        <w:t>(e)</w:t>
      </w:r>
      <w:r>
        <w:tab/>
        <w:t>it certifies that the electrical installing work to which it applies has been checked and tested and is safe and complies with these regulations; and</w:t>
      </w:r>
    </w:p>
    <w:p>
      <w:pPr>
        <w:pStyle w:val="nzIndenta"/>
      </w:pPr>
      <w:r>
        <w:tab/>
        <w:t>(f)</w:t>
      </w:r>
      <w:r>
        <w:tab/>
        <w:t>it is signed or executed by the electrical contractor or, if subregulation (5) applies, it is signed by the electrical worker.</w:t>
      </w:r>
    </w:p>
    <w:p>
      <w:pPr>
        <w:pStyle w:val="nzSubsection"/>
      </w:pPr>
      <w:r>
        <w:tab/>
        <w:t>(5)</w:t>
      </w:r>
      <w:r>
        <w:tab/>
        <w:t xml:space="preserve">A licensed electrical worker who — </w:t>
      </w:r>
    </w:p>
    <w:p>
      <w:pPr>
        <w:pStyle w:val="nzIndenta"/>
      </w:pPr>
      <w:r>
        <w:tab/>
        <w:t>(a)</w:t>
      </w:r>
      <w:r>
        <w:tab/>
        <w:t>is an employee of an electrical contractor; and</w:t>
      </w:r>
    </w:p>
    <w:p>
      <w:pPr>
        <w:pStyle w:val="nzIndenta"/>
      </w:pPr>
      <w:r>
        <w:tab/>
        <w:t>(b)</w:t>
      </w:r>
      <w:r>
        <w:tab/>
        <w:t>is given written authority, in a form approved by the Director, by the electrical contractor,</w:t>
      </w:r>
    </w:p>
    <w:p>
      <w:pPr>
        <w:pStyle w:val="nzSubsection"/>
      </w:pPr>
      <w:r>
        <w:tab/>
      </w:r>
      <w:r>
        <w:tab/>
        <w:t>may complete a certificate of compliance on behalf of the electrical contractor.</w:t>
      </w:r>
    </w:p>
    <w:p>
      <w:pPr>
        <w:pStyle w:val="nzSubsection"/>
      </w:pPr>
      <w:r>
        <w:tab/>
        <w:t>(6)</w:t>
      </w:r>
      <w:r>
        <w:tab/>
        <w:t>If requested to do so by the person for whom the electrical installing work is carried out, a person authorised under subregulation (5) is to produce his or her authority to complete the certificate of compliance.</w:t>
      </w:r>
    </w:p>
    <w:p>
      <w:pPr>
        <w:pStyle w:val="nzSubsection"/>
      </w:pPr>
      <w:r>
        <w:tab/>
        <w:t>(7)</w:t>
      </w:r>
      <w:r>
        <w:tab/>
        <w:t>A person who gives a certificate of compliance that the person knows to be false or misleading commits an offence.</w:t>
      </w:r>
    </w:p>
    <w:p>
      <w:pPr>
        <w:pStyle w:val="nzHeading5"/>
      </w:pPr>
      <w:bookmarkStart w:id="641" w:name="_Toc176064231"/>
      <w:bookmarkStart w:id="642" w:name="_Toc186854047"/>
      <w:r>
        <w:t>52C.</w:t>
      </w:r>
      <w:r>
        <w:tab/>
        <w:t>Duties of electrical contractor in relation to electrical installing work and electrical workers</w:t>
      </w:r>
      <w:bookmarkEnd w:id="641"/>
      <w:bookmarkEnd w:id="642"/>
    </w:p>
    <w:p>
      <w:pPr>
        <w:pStyle w:val="nzSubsection"/>
      </w:pPr>
      <w:r>
        <w:tab/>
        <w:t>(1)</w:t>
      </w:r>
      <w:r>
        <w:tab/>
        <w:t xml:space="preserve">An electrical contractor who carries out electrical installing work, or causes electrical installing work to be carried out, is to ensure that — </w:t>
      </w:r>
    </w:p>
    <w:p>
      <w:pPr>
        <w:pStyle w:val="nzIndenta"/>
      </w:pPr>
      <w:r>
        <w:tab/>
        <w:t>(a)</w:t>
      </w:r>
      <w:r>
        <w:tab/>
        <w:t>any electrician employed or engaged by the electrical contractor to carry out any of the electrical installing work has had appropriate training, holds a current licence and is competent to carry out the work; and</w:t>
      </w:r>
    </w:p>
    <w:p>
      <w:pPr>
        <w:pStyle w:val="nzIndenta"/>
      </w:pPr>
      <w:r>
        <w:tab/>
        <w:t>(b)</w:t>
      </w:r>
      <w:r>
        <w:tab/>
        <w:t xml:space="preserve">to the extent practicable and reasonable — </w:t>
      </w:r>
    </w:p>
    <w:p>
      <w:pPr>
        <w:pStyle w:val="nzIndenti"/>
      </w:pPr>
      <w:r>
        <w:tab/>
        <w:t>(i)</w:t>
      </w:r>
      <w:r>
        <w:tab/>
        <w:t>when the electrical installing work is completed, it is checked and tested and is safe; and</w:t>
      </w:r>
    </w:p>
    <w:p>
      <w:pPr>
        <w:pStyle w:val="nzIndenti"/>
      </w:pPr>
      <w:r>
        <w:tab/>
        <w:t>(ii)</w:t>
      </w:r>
      <w:r>
        <w:tab/>
        <w:t>the electrical installing work is completed to a trade finish.</w:t>
      </w:r>
    </w:p>
    <w:p>
      <w:pPr>
        <w:pStyle w:val="nzSubsection"/>
      </w:pPr>
      <w:r>
        <w:tab/>
        <w:t>(2)</w:t>
      </w:r>
      <w:r>
        <w:tab/>
        <w:t>This regulation does not limit the application of regulation 49B to an electrician who is employed or engaged by an electrical contractor to carry out electrical installing work.</w:t>
      </w:r>
    </w:p>
    <w:p>
      <w:pPr>
        <w:pStyle w:val="MiscClose"/>
      </w:pPr>
      <w:r>
        <w:t xml:space="preserve">    ”.</w:t>
      </w:r>
    </w:p>
    <w:p>
      <w:pPr>
        <w:pStyle w:val="nzHeading5"/>
      </w:pPr>
      <w:bookmarkStart w:id="643" w:name="_Toc121624848"/>
      <w:bookmarkStart w:id="644" w:name="_Toc176064232"/>
      <w:bookmarkStart w:id="645" w:name="_Toc186854048"/>
      <w:r>
        <w:rPr>
          <w:rStyle w:val="CharSectno"/>
        </w:rPr>
        <w:t>45</w:t>
      </w:r>
      <w:r>
        <w:t>.</w:t>
      </w:r>
      <w:r>
        <w:tab/>
        <w:t>Regulation 53 amended</w:t>
      </w:r>
      <w:bookmarkEnd w:id="643"/>
      <w:bookmarkEnd w:id="644"/>
      <w:bookmarkEnd w:id="645"/>
    </w:p>
    <w:p>
      <w:pPr>
        <w:pStyle w:val="nzSubsection"/>
      </w:pPr>
      <w:r>
        <w:tab/>
        <w:t>(1)</w:t>
      </w:r>
      <w:r>
        <w:tab/>
        <w:t xml:space="preserve">Regulation 53(1) is amended by deleting “regulations 51 and 52” and inserting instead — </w:t>
      </w:r>
    </w:p>
    <w:p>
      <w:pPr>
        <w:pStyle w:val="nzSubsection"/>
      </w:pPr>
      <w:r>
        <w:tab/>
      </w:r>
      <w:r>
        <w:tab/>
        <w:t>“    regulations 51, 52, 52B and 52C    ”.</w:t>
      </w:r>
    </w:p>
    <w:p>
      <w:pPr>
        <w:pStyle w:val="nzSubsection"/>
      </w:pPr>
      <w:r>
        <w:tab/>
        <w:t>(2)</w:t>
      </w:r>
      <w:r>
        <w:tab/>
        <w:t xml:space="preserve">After regulation 53(2) the following subregulations are inserted — </w:t>
      </w:r>
    </w:p>
    <w:p>
      <w:pPr>
        <w:pStyle w:val="MiscOpen"/>
        <w:ind w:left="600"/>
      </w:pPr>
      <w:r>
        <w:t xml:space="preserve">“    </w:t>
      </w:r>
    </w:p>
    <w:p>
      <w:pPr>
        <w:pStyle w:val="nzSubsection"/>
      </w:pPr>
      <w:r>
        <w:tab/>
        <w:t>(3)</w:t>
      </w:r>
      <w:r>
        <w:tab/>
        <w:t>A person shall not employ, engage or instruct an electrical worker in training to carry out any electrical work unless the electrical worker holds an electrician’s training licence.</w:t>
      </w:r>
    </w:p>
    <w:p>
      <w:pPr>
        <w:pStyle w:val="nzSubsection"/>
      </w:pPr>
      <w:r>
        <w:tab/>
        <w:t>(4)</w:t>
      </w:r>
      <w:r>
        <w:tab/>
        <w:t xml:space="preserve">In subregulation (3) — </w:t>
      </w:r>
    </w:p>
    <w:p>
      <w:pPr>
        <w:pStyle w:val="nzDefstart"/>
      </w:pPr>
      <w:r>
        <w:rPr>
          <w:b/>
        </w:rPr>
        <w:tab/>
        <w:t>“</w:t>
      </w:r>
      <w:r>
        <w:rPr>
          <w:rStyle w:val="CharDefText"/>
        </w:rPr>
        <w:t>electrical worker in training</w:t>
      </w:r>
      <w:r>
        <w:rPr>
          <w:b/>
        </w:rPr>
        <w:t>”</w:t>
      </w:r>
      <w:r>
        <w:t xml:space="preserve"> means an electrical worker who is an apprentice or who is undergoing a course of training.</w:t>
      </w:r>
    </w:p>
    <w:p>
      <w:pPr>
        <w:pStyle w:val="MiscClose"/>
      </w:pPr>
      <w:r>
        <w:t xml:space="preserve">    ”.</w:t>
      </w:r>
    </w:p>
    <w:p>
      <w:pPr>
        <w:pStyle w:val="nzHeading5"/>
      </w:pPr>
      <w:bookmarkStart w:id="646" w:name="_Toc121624849"/>
      <w:bookmarkStart w:id="647" w:name="_Toc176064233"/>
      <w:bookmarkStart w:id="648" w:name="_Toc186854049"/>
      <w:r>
        <w:rPr>
          <w:rStyle w:val="CharSectno"/>
        </w:rPr>
        <w:t>46</w:t>
      </w:r>
      <w:r>
        <w:t>.</w:t>
      </w:r>
      <w:r>
        <w:tab/>
        <w:t>Regulation 55 repealed</w:t>
      </w:r>
      <w:bookmarkEnd w:id="646"/>
      <w:bookmarkEnd w:id="647"/>
      <w:bookmarkEnd w:id="648"/>
    </w:p>
    <w:p>
      <w:pPr>
        <w:pStyle w:val="nzSubsection"/>
      </w:pPr>
      <w:r>
        <w:tab/>
      </w:r>
      <w:r>
        <w:tab/>
        <w:t>Regulation 55 is repealed.</w:t>
      </w:r>
    </w:p>
    <w:p>
      <w:pPr>
        <w:pStyle w:val="nzHeading5"/>
      </w:pPr>
      <w:bookmarkStart w:id="649" w:name="_Toc121624850"/>
      <w:bookmarkStart w:id="650" w:name="_Toc176064234"/>
      <w:bookmarkStart w:id="651" w:name="_Toc186854050"/>
      <w:r>
        <w:rPr>
          <w:rStyle w:val="CharSectno"/>
        </w:rPr>
        <w:t>47</w:t>
      </w:r>
      <w:r>
        <w:t>.</w:t>
      </w:r>
      <w:r>
        <w:tab/>
        <w:t>Regulation 60 amended and Schedule 1 consequentially amended</w:t>
      </w:r>
      <w:bookmarkEnd w:id="649"/>
      <w:bookmarkEnd w:id="650"/>
      <w:bookmarkEnd w:id="651"/>
    </w:p>
    <w:p>
      <w:pPr>
        <w:pStyle w:val="nzSubsection"/>
      </w:pPr>
      <w:r>
        <w:tab/>
        <w:t>(1)</w:t>
      </w:r>
      <w:r>
        <w:tab/>
        <w:t>Regulation 60(1) is amended by deleting “copy o</w:t>
      </w:r>
      <w:r>
        <w:rPr>
          <w:spacing w:val="40"/>
        </w:rPr>
        <w:t>f</w:t>
      </w:r>
      <w:r>
        <w:t xml:space="preserve">” and inserting instead — </w:t>
      </w:r>
    </w:p>
    <w:p>
      <w:pPr>
        <w:pStyle w:val="nzSubsection"/>
      </w:pPr>
      <w:r>
        <w:tab/>
      </w:r>
      <w:r>
        <w:tab/>
        <w:t>“    replacement for    ”.</w:t>
      </w:r>
    </w:p>
    <w:p>
      <w:pPr>
        <w:pStyle w:val="nzSubsection"/>
      </w:pPr>
      <w:r>
        <w:tab/>
        <w:t>(2)</w:t>
      </w:r>
      <w:r>
        <w:tab/>
        <w:t>Regulation 60(2) is amended by deleting “copy o</w:t>
      </w:r>
      <w:r>
        <w:rPr>
          <w:spacing w:val="40"/>
        </w:rPr>
        <w:t>f</w:t>
      </w:r>
      <w:r>
        <w:t xml:space="preserve">” and inserting instead — </w:t>
      </w:r>
    </w:p>
    <w:p>
      <w:pPr>
        <w:pStyle w:val="nzSubsection"/>
      </w:pPr>
      <w:r>
        <w:tab/>
      </w:r>
      <w:r>
        <w:tab/>
        <w:t>“    replacement for    ”.</w:t>
      </w:r>
    </w:p>
    <w:p>
      <w:pPr>
        <w:pStyle w:val="nzSubsection"/>
      </w:pPr>
      <w:r>
        <w:tab/>
        <w:t>(3)</w:t>
      </w:r>
      <w:r>
        <w:tab/>
        <w:t>Regulation 60(3) is amended as follows:</w:t>
      </w:r>
    </w:p>
    <w:p>
      <w:pPr>
        <w:pStyle w:val="nzIndenta"/>
      </w:pPr>
      <w:r>
        <w:tab/>
        <w:t>(a)</w:t>
      </w:r>
      <w:r>
        <w:tab/>
        <w:t xml:space="preserve">by deleting “copy” in the first place where it occurs and inserting instead — </w:t>
      </w:r>
    </w:p>
    <w:p>
      <w:pPr>
        <w:pStyle w:val="nzIndenta"/>
      </w:pPr>
      <w:r>
        <w:tab/>
      </w:r>
      <w:r>
        <w:tab/>
        <w:t>“    replacement for a licence or permit    ”;</w:t>
      </w:r>
    </w:p>
    <w:p>
      <w:pPr>
        <w:pStyle w:val="nzIndenta"/>
      </w:pPr>
      <w:r>
        <w:tab/>
        <w:t>(b)</w:t>
      </w:r>
      <w:r>
        <w:tab/>
        <w:t xml:space="preserve">by deleting “of which it is a copy.” and inserting instead — </w:t>
      </w:r>
    </w:p>
    <w:p>
      <w:pPr>
        <w:pStyle w:val="nzIndenta"/>
      </w:pPr>
      <w:r>
        <w:tab/>
      </w:r>
      <w:r>
        <w:tab/>
        <w:t>“    for which it is a replacement.    ”.</w:t>
      </w:r>
    </w:p>
    <w:p>
      <w:pPr>
        <w:pStyle w:val="nzSubsection"/>
      </w:pPr>
      <w:r>
        <w:tab/>
        <w:t>(4)</w:t>
      </w:r>
      <w:r>
        <w:tab/>
        <w:t>Schedule 1 is amended as follows:</w:t>
      </w:r>
    </w:p>
    <w:p>
      <w:pPr>
        <w:pStyle w:val="nzIndenta"/>
      </w:pPr>
      <w:r>
        <w:tab/>
        <w:t>(a)</w:t>
      </w:r>
      <w:r>
        <w:tab/>
        <w:t xml:space="preserve">by deleting item 1(c) and inserting the following subitem instead — </w:t>
      </w:r>
    </w:p>
    <w:p>
      <w:pPr>
        <w:pStyle w:val="MiscOpen"/>
        <w:ind w:left="879" w:firstLine="397"/>
      </w:pPr>
      <w:r>
        <w:t xml:space="preserve">“    </w:t>
      </w:r>
    </w:p>
    <w:tbl>
      <w:tblPr>
        <w:tblW w:w="5670" w:type="dxa"/>
        <w:tblInd w:w="1560" w:type="dxa"/>
        <w:tblLayout w:type="fixed"/>
        <w:tblCellMar>
          <w:left w:w="142" w:type="dxa"/>
          <w:right w:w="142" w:type="dxa"/>
        </w:tblCellMar>
        <w:tblLook w:val="0000" w:firstRow="0" w:lastRow="0" w:firstColumn="0" w:lastColumn="0" w:noHBand="0" w:noVBand="0"/>
      </w:tblPr>
      <w:tblGrid>
        <w:gridCol w:w="567"/>
        <w:gridCol w:w="4536"/>
        <w:gridCol w:w="567"/>
      </w:tblGrid>
      <w:tr>
        <w:tc>
          <w:tcPr>
            <w:tcW w:w="567" w:type="dxa"/>
          </w:tcPr>
          <w:p>
            <w:pPr>
              <w:pStyle w:val="nzTable"/>
            </w:pPr>
            <w:r>
              <w:t>(c)</w:t>
            </w:r>
          </w:p>
        </w:tc>
        <w:tc>
          <w:tcPr>
            <w:tcW w:w="4536" w:type="dxa"/>
          </w:tcPr>
          <w:p>
            <w:pPr>
              <w:pStyle w:val="nzTable"/>
            </w:pPr>
            <w:r>
              <w:t>Replacement for licence or permit or copy</w:t>
            </w:r>
            <w:r>
              <w:br/>
              <w:t>of certificate of registration ................................</w:t>
            </w:r>
          </w:p>
        </w:tc>
        <w:tc>
          <w:tcPr>
            <w:tcW w:w="567" w:type="dxa"/>
          </w:tcPr>
          <w:p>
            <w:pPr>
              <w:pStyle w:val="nzTable"/>
            </w:pPr>
            <w:r>
              <w:br/>
              <w:t>10</w:t>
            </w:r>
          </w:p>
        </w:tc>
      </w:tr>
    </w:tbl>
    <w:p>
      <w:pPr>
        <w:pStyle w:val="MiscClose"/>
      </w:pPr>
      <w:r>
        <w:t xml:space="preserve">    ”;</w:t>
      </w:r>
    </w:p>
    <w:p>
      <w:pPr>
        <w:pStyle w:val="nzIndenta"/>
      </w:pPr>
      <w:r>
        <w:tab/>
        <w:t>(b)</w:t>
      </w:r>
      <w:r>
        <w:tab/>
        <w:t xml:space="preserve">by deleting item 2(d) and inserting the following subitem instead — </w:t>
      </w:r>
    </w:p>
    <w:p>
      <w:pPr>
        <w:pStyle w:val="MiscOpen"/>
        <w:ind w:left="879" w:firstLine="397"/>
      </w:pPr>
      <w:r>
        <w:t xml:space="preserve">“    </w:t>
      </w:r>
    </w:p>
    <w:tbl>
      <w:tblPr>
        <w:tblW w:w="0" w:type="auto"/>
        <w:tblInd w:w="1560" w:type="dxa"/>
        <w:tblLayout w:type="fixed"/>
        <w:tblCellMar>
          <w:left w:w="142" w:type="dxa"/>
          <w:right w:w="142" w:type="dxa"/>
        </w:tblCellMar>
        <w:tblLook w:val="0000" w:firstRow="0" w:lastRow="0" w:firstColumn="0" w:lastColumn="0" w:noHBand="0" w:noVBand="0"/>
      </w:tblPr>
      <w:tblGrid>
        <w:gridCol w:w="567"/>
        <w:gridCol w:w="4536"/>
        <w:gridCol w:w="567"/>
      </w:tblGrid>
      <w:tr>
        <w:tc>
          <w:tcPr>
            <w:tcW w:w="567" w:type="dxa"/>
          </w:tcPr>
          <w:p>
            <w:pPr>
              <w:pStyle w:val="nzTable"/>
            </w:pPr>
            <w:r>
              <w:t>(d)</w:t>
            </w:r>
          </w:p>
        </w:tc>
        <w:tc>
          <w:tcPr>
            <w:tcW w:w="4536" w:type="dxa"/>
          </w:tcPr>
          <w:p>
            <w:pPr>
              <w:pStyle w:val="nzTable"/>
            </w:pPr>
            <w:r>
              <w:t>Replacement for licence or copy of</w:t>
            </w:r>
            <w:r>
              <w:br/>
              <w:t>certificate of registration ....................................</w:t>
            </w:r>
          </w:p>
        </w:tc>
        <w:tc>
          <w:tcPr>
            <w:tcW w:w="567" w:type="dxa"/>
          </w:tcPr>
          <w:p>
            <w:pPr>
              <w:pStyle w:val="nzTable"/>
            </w:pPr>
            <w:r>
              <w:br/>
              <w:t>30</w:t>
            </w:r>
          </w:p>
        </w:tc>
      </w:tr>
    </w:tbl>
    <w:p>
      <w:pPr>
        <w:pStyle w:val="MiscClose"/>
      </w:pPr>
      <w:r>
        <w:t xml:space="preserve">    ”.</w:t>
      </w:r>
    </w:p>
    <w:p>
      <w:pPr>
        <w:pStyle w:val="nzHeading5"/>
      </w:pPr>
      <w:bookmarkStart w:id="652" w:name="_Toc121624851"/>
      <w:bookmarkStart w:id="653" w:name="_Toc176064235"/>
      <w:bookmarkStart w:id="654" w:name="_Toc186854051"/>
      <w:r>
        <w:rPr>
          <w:rStyle w:val="CharSectno"/>
        </w:rPr>
        <w:t>48</w:t>
      </w:r>
      <w:r>
        <w:t>.</w:t>
      </w:r>
      <w:r>
        <w:tab/>
        <w:t>Regulation 61 amended</w:t>
      </w:r>
      <w:bookmarkEnd w:id="652"/>
      <w:bookmarkEnd w:id="653"/>
      <w:bookmarkEnd w:id="654"/>
    </w:p>
    <w:p>
      <w:pPr>
        <w:pStyle w:val="nzSubsection"/>
      </w:pPr>
      <w:r>
        <w:tab/>
      </w:r>
      <w:r>
        <w:tab/>
        <w:t>Regulation 61 is amended as follows:</w:t>
      </w:r>
    </w:p>
    <w:p>
      <w:pPr>
        <w:pStyle w:val="nzIndenta"/>
      </w:pPr>
      <w:r>
        <w:tab/>
        <w:t>(a)</w:t>
      </w:r>
      <w:r>
        <w:tab/>
        <w:t xml:space="preserve">in paragraph (a) by deleting “31(2)(c) or 47(2)(b);” and inserting instead — </w:t>
      </w:r>
    </w:p>
    <w:p>
      <w:pPr>
        <w:pStyle w:val="MiscOpen"/>
        <w:ind w:left="1620"/>
      </w:pPr>
      <w:r>
        <w:t xml:space="preserve">“    </w:t>
      </w:r>
    </w:p>
    <w:p>
      <w:pPr>
        <w:pStyle w:val="nzIndenta"/>
      </w:pPr>
      <w:r>
        <w:tab/>
      </w:r>
      <w:r>
        <w:tab/>
        <w:t>29(3), 31(2)(c), 38(7), 43(3), 45A(4) or 47(2)(b); or</w:t>
      </w:r>
    </w:p>
    <w:p>
      <w:pPr>
        <w:pStyle w:val="MiscClose"/>
      </w:pPr>
      <w:r>
        <w:t xml:space="preserve">    ”;</w:t>
      </w:r>
    </w:p>
    <w:p>
      <w:pPr>
        <w:pStyle w:val="nzIndenta"/>
      </w:pPr>
      <w:r>
        <w:tab/>
        <w:t>(b)</w:t>
      </w:r>
      <w:r>
        <w:tab/>
        <w:t xml:space="preserve">in paragraph (b) by deleting “31(2)(a) or 47(2)(a);” and inserting instead — </w:t>
      </w:r>
    </w:p>
    <w:p>
      <w:pPr>
        <w:pStyle w:val="nzIndenta"/>
      </w:pPr>
      <w:r>
        <w:tab/>
      </w:r>
      <w:r>
        <w:tab/>
        <w:t>“    29(3), 31(2)(a), 45A(4) or 47(2)(a);    ”.</w:t>
      </w:r>
    </w:p>
    <w:p>
      <w:pPr>
        <w:pStyle w:val="nzHeading5"/>
      </w:pPr>
      <w:bookmarkStart w:id="655" w:name="_Toc121624852"/>
      <w:bookmarkStart w:id="656" w:name="_Toc176064236"/>
      <w:bookmarkStart w:id="657" w:name="_Toc186854052"/>
      <w:r>
        <w:rPr>
          <w:rStyle w:val="CharSectno"/>
        </w:rPr>
        <w:t>49</w:t>
      </w:r>
      <w:r>
        <w:t>.</w:t>
      </w:r>
      <w:r>
        <w:tab/>
        <w:t>Regulation 62 amended</w:t>
      </w:r>
      <w:bookmarkEnd w:id="655"/>
      <w:bookmarkEnd w:id="656"/>
      <w:bookmarkEnd w:id="657"/>
    </w:p>
    <w:p>
      <w:pPr>
        <w:pStyle w:val="nzSubsection"/>
      </w:pPr>
      <w:r>
        <w:tab/>
      </w:r>
      <w:r>
        <w:tab/>
        <w:t xml:space="preserve">Regulation 62(1) is repealed and the following subregulation is inserted instead — </w:t>
      </w:r>
    </w:p>
    <w:p>
      <w:pPr>
        <w:pStyle w:val="MiscOpen"/>
        <w:ind w:left="595"/>
      </w:pPr>
      <w:r>
        <w:t xml:space="preserve">“    </w:t>
      </w:r>
    </w:p>
    <w:p>
      <w:pPr>
        <w:pStyle w:val="nz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nz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nzIndenta"/>
      </w:pPr>
      <w:r>
        <w:tab/>
        <w:t>(b)</w:t>
      </w:r>
      <w:r>
        <w:tab/>
        <w:t xml:space="preserve">to report the matter — </w:t>
      </w:r>
    </w:p>
    <w:p>
      <w:pPr>
        <w:pStyle w:val="nzIndenti"/>
      </w:pPr>
      <w:r>
        <w:tab/>
        <w:t>(i)</w:t>
      </w:r>
      <w:r>
        <w:tab/>
        <w:t>to the relevant network operator; or</w:t>
      </w:r>
    </w:p>
    <w:p>
      <w:pPr>
        <w:pStyle w:val="nzIndenti"/>
      </w:pPr>
      <w:r>
        <w:tab/>
        <w:t>(ii)</w:t>
      </w:r>
      <w:r>
        <w:tab/>
        <w:t>if the electrical worker is unable to identify the relevant network operator — to the Director.</w:t>
      </w:r>
    </w:p>
    <w:p>
      <w:pPr>
        <w:pStyle w:val="MiscClose"/>
      </w:pPr>
      <w:r>
        <w:t xml:space="preserve">    ”.</w:t>
      </w:r>
    </w:p>
    <w:p>
      <w:pPr>
        <w:pStyle w:val="nzHeading5"/>
      </w:pPr>
      <w:bookmarkStart w:id="658" w:name="_Toc121624853"/>
      <w:bookmarkStart w:id="659" w:name="_Toc176064237"/>
      <w:bookmarkStart w:id="660" w:name="_Toc186854053"/>
      <w:r>
        <w:rPr>
          <w:rStyle w:val="CharSectno"/>
        </w:rPr>
        <w:t>50</w:t>
      </w:r>
      <w:r>
        <w:t>.</w:t>
      </w:r>
      <w:r>
        <w:tab/>
        <w:t>Regulation 63 replaced</w:t>
      </w:r>
      <w:bookmarkEnd w:id="658"/>
      <w:bookmarkEnd w:id="659"/>
      <w:bookmarkEnd w:id="660"/>
    </w:p>
    <w:p>
      <w:pPr>
        <w:pStyle w:val="nzSubsection"/>
      </w:pPr>
      <w:r>
        <w:tab/>
      </w:r>
      <w:r>
        <w:tab/>
        <w:t xml:space="preserve">Regulation 63 is repealed and the following regulation is inserted instead — </w:t>
      </w:r>
    </w:p>
    <w:p>
      <w:pPr>
        <w:pStyle w:val="MiscOpen"/>
      </w:pPr>
      <w:r>
        <w:t xml:space="preserve">“    </w:t>
      </w:r>
    </w:p>
    <w:p>
      <w:pPr>
        <w:pStyle w:val="nzHeading5"/>
      </w:pPr>
      <w:bookmarkStart w:id="661" w:name="_Toc176064238"/>
      <w:bookmarkStart w:id="662" w:name="_Toc186854054"/>
      <w:r>
        <w:t>63.</w:t>
      </w:r>
      <w:r>
        <w:tab/>
        <w:t>Electrical accidents to be reported</w:t>
      </w:r>
      <w:bookmarkEnd w:id="661"/>
      <w:bookmarkEnd w:id="662"/>
    </w:p>
    <w:p>
      <w:pPr>
        <w:pStyle w:val="nzSubsection"/>
      </w:pPr>
      <w:r>
        <w:tab/>
        <w:t>(1)</w:t>
      </w:r>
      <w:r>
        <w:tab/>
        <w:t xml:space="preserve">In this regulation — </w:t>
      </w:r>
    </w:p>
    <w:p>
      <w:pPr>
        <w:pStyle w:val="nzDefstart"/>
      </w:pPr>
      <w:r>
        <w:rPr>
          <w:b/>
        </w:rPr>
        <w:tab/>
        <w:t>“</w:t>
      </w:r>
      <w:r>
        <w:rPr>
          <w:rStyle w:val="CharDefText"/>
        </w:rPr>
        <w:t>electrical accident</w:t>
      </w:r>
      <w:r>
        <w:rPr>
          <w:b/>
        </w:rPr>
        <w:t>”</w:t>
      </w:r>
      <w:r>
        <w:t xml:space="preserve"> means an accident — </w:t>
      </w:r>
    </w:p>
    <w:p>
      <w:pPr>
        <w:pStyle w:val="nzDefpara"/>
      </w:pPr>
      <w:r>
        <w:tab/>
        <w:t>(a)</w:t>
      </w:r>
      <w:r>
        <w:tab/>
        <w:t>that results from a sudden discharge of electricity or that otherwise has, or is likely to have, an electrical origin; and</w:t>
      </w:r>
    </w:p>
    <w:p>
      <w:pPr>
        <w:pStyle w:val="nzDefpara"/>
      </w:pPr>
      <w:r>
        <w:tab/>
        <w:t>(b)</w:t>
      </w:r>
      <w:r>
        <w:tab/>
        <w:t>that causes, or is likely to cause, danger to life, a shock or injury to a person or loss of or damage to property;</w:t>
      </w:r>
    </w:p>
    <w:p>
      <w:pPr>
        <w:pStyle w:val="nzDefstart"/>
      </w:pPr>
      <w:r>
        <w:rPr>
          <w:b/>
        </w:rPr>
        <w:tab/>
        <w:t>“</w:t>
      </w:r>
      <w:r>
        <w:rPr>
          <w:rStyle w:val="CharDefText"/>
        </w:rPr>
        <w:t>employee</w:t>
      </w:r>
      <w:r>
        <w:rPr>
          <w:b/>
        </w:rPr>
        <w:t>”</w:t>
      </w:r>
      <w:r>
        <w:t xml:space="preserve"> includes a person engaged under a contract for services;</w:t>
      </w:r>
    </w:p>
    <w:p>
      <w:pPr>
        <w:pStyle w:val="nzDefstart"/>
      </w:pPr>
      <w:r>
        <w:rPr>
          <w:b/>
        </w:rPr>
        <w:tab/>
        <w:t>“</w:t>
      </w:r>
      <w:r>
        <w:rPr>
          <w:rStyle w:val="CharDefText"/>
        </w:rPr>
        <w:t>employer</w:t>
      </w:r>
      <w:r>
        <w:rPr>
          <w:b/>
        </w:rPr>
        <w:t>”</w:t>
      </w:r>
      <w:r>
        <w:t xml:space="preserve"> includes a person who engages another person under a contract for services.</w:t>
      </w:r>
    </w:p>
    <w:p>
      <w:pPr>
        <w:pStyle w:val="nzSubsection"/>
      </w:pPr>
      <w:r>
        <w:tab/>
        <w:t>(2)</w:t>
      </w:r>
      <w:r>
        <w:tab/>
        <w:t xml:space="preserve">Subject to subregulations (4), (5) and (6), immediately after a person becomes aware that an electrical accident has taken place, the person is to report the accident — </w:t>
      </w:r>
    </w:p>
    <w:p>
      <w:pPr>
        <w:pStyle w:val="nzIndenta"/>
      </w:pPr>
      <w:r>
        <w:tab/>
        <w:t>(a)</w:t>
      </w:r>
      <w:r>
        <w:tab/>
        <w:t>to the relevant network operator; or</w:t>
      </w:r>
    </w:p>
    <w:p>
      <w:pPr>
        <w:pStyle w:val="nzIndenta"/>
      </w:pPr>
      <w:r>
        <w:tab/>
        <w:t>(b)</w:t>
      </w:r>
      <w:r>
        <w:tab/>
        <w:t>if the person is unable to identify the relevant network operator — to the Director.</w:t>
      </w:r>
    </w:p>
    <w:p>
      <w:pPr>
        <w:pStyle w:val="nz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nz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nz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nz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nzSubsection"/>
      </w:pPr>
      <w:r>
        <w:tab/>
        <w:t>(7)</w:t>
      </w:r>
      <w:r>
        <w:tab/>
        <w:t xml:space="preserve">A network operator is not required to report to the Director that an electrical accident has taken place if — </w:t>
      </w:r>
    </w:p>
    <w:p>
      <w:pPr>
        <w:pStyle w:val="nz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nzIndenta"/>
      </w:pPr>
      <w:r>
        <w:tab/>
        <w:t>(b)</w:t>
      </w:r>
      <w:r>
        <w:tab/>
        <w:t>the network operator has given the required notification to the Director.</w:t>
      </w:r>
    </w:p>
    <w:p>
      <w:pPr>
        <w:pStyle w:val="nzSubsection"/>
      </w:pPr>
      <w:r>
        <w:tab/>
        <w:t>(8)</w:t>
      </w:r>
      <w:r>
        <w:tab/>
        <w:t>Nothing in this regulation requires the Director to report that an electrical accident has taken place.</w:t>
      </w:r>
    </w:p>
    <w:p>
      <w:pPr>
        <w:pStyle w:val="MiscClose"/>
      </w:pPr>
      <w:r>
        <w:t xml:space="preserve">    ”.</w:t>
      </w:r>
    </w:p>
    <w:p>
      <w:pPr>
        <w:pStyle w:val="nzHeading5"/>
      </w:pPr>
      <w:bookmarkStart w:id="663" w:name="_Toc121624854"/>
      <w:bookmarkStart w:id="664" w:name="_Toc176064239"/>
      <w:bookmarkStart w:id="665" w:name="_Toc186854055"/>
      <w:r>
        <w:rPr>
          <w:rStyle w:val="CharSectno"/>
        </w:rPr>
        <w:t>51</w:t>
      </w:r>
      <w:r>
        <w:t>.</w:t>
      </w:r>
      <w:r>
        <w:tab/>
        <w:t>Regulation 63A amended</w:t>
      </w:r>
      <w:bookmarkEnd w:id="663"/>
      <w:bookmarkEnd w:id="664"/>
      <w:bookmarkEnd w:id="665"/>
    </w:p>
    <w:p>
      <w:pPr>
        <w:pStyle w:val="nzSubsection"/>
      </w:pPr>
      <w:r>
        <w:tab/>
      </w:r>
      <w:r>
        <w:tab/>
        <w:t xml:space="preserve">Regulation 63A is amended after “at which an” by inserting — </w:t>
      </w:r>
    </w:p>
    <w:p>
      <w:pPr>
        <w:pStyle w:val="nzSubsection"/>
      </w:pPr>
      <w:r>
        <w:tab/>
      </w:r>
      <w:r>
        <w:tab/>
        <w:t>“    electrical    ”.</w:t>
      </w:r>
    </w:p>
    <w:p>
      <w:pPr>
        <w:pStyle w:val="nzHeading5"/>
      </w:pPr>
      <w:bookmarkStart w:id="666" w:name="_Toc121624855"/>
      <w:bookmarkStart w:id="667" w:name="_Toc176064240"/>
      <w:bookmarkStart w:id="668" w:name="_Toc186854056"/>
      <w:r>
        <w:rPr>
          <w:rStyle w:val="CharSectno"/>
        </w:rPr>
        <w:t>52</w:t>
      </w:r>
      <w:r>
        <w:t>.</w:t>
      </w:r>
      <w:r>
        <w:tab/>
        <w:t>Regulation 64 amended</w:t>
      </w:r>
      <w:bookmarkEnd w:id="666"/>
      <w:bookmarkEnd w:id="667"/>
      <w:bookmarkEnd w:id="668"/>
    </w:p>
    <w:p>
      <w:pPr>
        <w:pStyle w:val="nzSubsection"/>
      </w:pPr>
      <w:r>
        <w:tab/>
      </w:r>
      <w:r>
        <w:tab/>
        <w:t>Regulation 64(2) is amended by deleting “holder”.</w:t>
      </w:r>
    </w:p>
    <w:p>
      <w:pPr>
        <w:pStyle w:val="nzHeading5"/>
      </w:pPr>
      <w:bookmarkStart w:id="669" w:name="_Toc121624856"/>
      <w:bookmarkStart w:id="670" w:name="_Toc176064241"/>
      <w:bookmarkStart w:id="671" w:name="_Toc186854057"/>
      <w:r>
        <w:rPr>
          <w:rStyle w:val="CharSectno"/>
        </w:rPr>
        <w:t>53</w:t>
      </w:r>
      <w:r>
        <w:t>.</w:t>
      </w:r>
      <w:r>
        <w:tab/>
        <w:t>Regulation 65 amended</w:t>
      </w:r>
      <w:bookmarkEnd w:id="669"/>
      <w:bookmarkEnd w:id="670"/>
      <w:bookmarkEnd w:id="671"/>
    </w:p>
    <w:p>
      <w:pPr>
        <w:pStyle w:val="nzSubsection"/>
      </w:pPr>
      <w:r>
        <w:tab/>
      </w:r>
      <w:r>
        <w:tab/>
        <w:t>Regulation 65 is amended as follows:</w:t>
      </w:r>
    </w:p>
    <w:p>
      <w:pPr>
        <w:pStyle w:val="nzIndenta"/>
      </w:pPr>
      <w:r>
        <w:tab/>
        <w:t>(a)</w:t>
      </w:r>
      <w:r>
        <w:tab/>
        <w:t>before “A” by inserting the subregulation designation “(1)”;</w:t>
      </w:r>
    </w:p>
    <w:p>
      <w:pPr>
        <w:pStyle w:val="nzIndenta"/>
      </w:pPr>
      <w:r>
        <w:tab/>
        <w:t>(b)</w:t>
      </w:r>
      <w:r>
        <w:tab/>
        <w:t xml:space="preserve">by deleting the passage from, and including, “offence and is liable,” to the end of the regulation and inserting instead — </w:t>
      </w:r>
    </w:p>
    <w:p>
      <w:pPr>
        <w:pStyle w:val="nzIndenta"/>
      </w:pPr>
      <w:r>
        <w:tab/>
      </w:r>
      <w:r>
        <w:tab/>
        <w:t>“    offence.    ”;</w:t>
      </w:r>
    </w:p>
    <w:p>
      <w:pPr>
        <w:pStyle w:val="nzIndenta"/>
      </w:pPr>
      <w:r>
        <w:tab/>
        <w:t>(c)</w:t>
      </w:r>
      <w:r>
        <w:tab/>
        <w:t xml:space="preserve">at the end of the regulation by inserting — </w:t>
      </w:r>
    </w:p>
    <w:p>
      <w:pPr>
        <w:pStyle w:val="MiscOpen"/>
        <w:ind w:left="600"/>
      </w:pPr>
      <w:r>
        <w:t xml:space="preserve">“    </w:t>
      </w:r>
    </w:p>
    <w:p>
      <w:pPr>
        <w:pStyle w:val="nzSubsection"/>
      </w:pPr>
      <w:r>
        <w:tab/>
        <w:t>(2)</w:t>
      </w:r>
      <w:r>
        <w:tab/>
        <w:t xml:space="preserve">Unless otherwise provided, a person who commits an offence under these regulations is liable to — </w:t>
      </w:r>
    </w:p>
    <w:p>
      <w:pPr>
        <w:pStyle w:val="nzIndenta"/>
      </w:pPr>
      <w:r>
        <w:tab/>
        <w:t>(a)</w:t>
      </w:r>
      <w:r>
        <w:tab/>
        <w:t>for an individual, a fine of $50 000; or</w:t>
      </w:r>
    </w:p>
    <w:p>
      <w:pPr>
        <w:pStyle w:val="nzIndenta"/>
      </w:pPr>
      <w:r>
        <w:tab/>
        <w:t>(b)</w:t>
      </w:r>
      <w:r>
        <w:tab/>
        <w:t>for a body corporate, a fine of $250 000.</w:t>
      </w:r>
    </w:p>
    <w:p>
      <w:pPr>
        <w:pStyle w:val="MiscClose"/>
        <w:keepNext/>
      </w:pPr>
      <w:r>
        <w:t xml:space="preserve">    ”.</w:t>
      </w:r>
    </w:p>
    <w:p>
      <w:pPr>
        <w:pStyle w:val="nzHeading5"/>
      </w:pPr>
      <w:bookmarkStart w:id="672" w:name="_Toc121624857"/>
      <w:bookmarkStart w:id="673" w:name="_Toc176064242"/>
      <w:bookmarkStart w:id="674" w:name="_Toc186854058"/>
      <w:r>
        <w:rPr>
          <w:rStyle w:val="CharSectno"/>
        </w:rPr>
        <w:t>54</w:t>
      </w:r>
      <w:r>
        <w:t>.</w:t>
      </w:r>
      <w:r>
        <w:tab/>
        <w:t>Regulation 65A inserted</w:t>
      </w:r>
      <w:bookmarkEnd w:id="672"/>
      <w:bookmarkEnd w:id="673"/>
      <w:bookmarkEnd w:id="674"/>
    </w:p>
    <w:p>
      <w:pPr>
        <w:pStyle w:val="nzSubsection"/>
      </w:pPr>
      <w:r>
        <w:tab/>
      </w:r>
      <w:r>
        <w:tab/>
        <w:t xml:space="preserve">After regulation 65 the following regulation is inserted — </w:t>
      </w:r>
    </w:p>
    <w:p>
      <w:pPr>
        <w:pStyle w:val="MiscOpen"/>
      </w:pPr>
      <w:r>
        <w:t xml:space="preserve">“    </w:t>
      </w:r>
    </w:p>
    <w:p>
      <w:pPr>
        <w:pStyle w:val="nzHeading5"/>
      </w:pPr>
      <w:bookmarkStart w:id="675" w:name="_Toc176064243"/>
      <w:bookmarkStart w:id="676" w:name="_Toc186854059"/>
      <w:r>
        <w:t>65A.</w:t>
      </w:r>
      <w:r>
        <w:tab/>
        <w:t>Offences by members of firms</w:t>
      </w:r>
      <w:bookmarkEnd w:id="675"/>
      <w:bookmarkEnd w:id="676"/>
    </w:p>
    <w:p>
      <w:pPr>
        <w:pStyle w:val="nzSubsection"/>
      </w:pPr>
      <w:r>
        <w:tab/>
        <w:t>(1)</w:t>
      </w:r>
      <w:r>
        <w:tab/>
        <w:t xml:space="preserve">If — </w:t>
      </w:r>
    </w:p>
    <w:p>
      <w:pPr>
        <w:pStyle w:val="nzIndenta"/>
      </w:pPr>
      <w:r>
        <w:tab/>
        <w:t>(a)</w:t>
      </w:r>
      <w:r>
        <w:tab/>
        <w:t>a firm that holds an electrical contractor’s licence does or omits to do anything; and</w:t>
      </w:r>
    </w:p>
    <w:p>
      <w:pPr>
        <w:pStyle w:val="nzIndenta"/>
      </w:pPr>
      <w:r>
        <w:tab/>
        <w:t>(b)</w:t>
      </w:r>
      <w:r>
        <w:tab/>
        <w:t>an individual who holds an electrical contractor’s licence who did or omitted to do the thing would commit an offence under these regulations,</w:t>
      </w:r>
    </w:p>
    <w:p>
      <w:pPr>
        <w:pStyle w:val="nzSubsection"/>
      </w:pPr>
      <w:r>
        <w:tab/>
      </w:r>
      <w:r>
        <w:tab/>
        <w:t>each member of the firm is taken to have committed the offence.</w:t>
      </w:r>
    </w:p>
    <w:p>
      <w:pPr>
        <w:pStyle w:val="nzSubsection"/>
      </w:pPr>
      <w:r>
        <w:tab/>
        <w:t>(2)</w:t>
      </w:r>
      <w:r>
        <w:tab/>
        <w:t xml:space="preserve">It is a defence to a charge of an offence referred to in subregulation (1) for a member of a firm to prove — </w:t>
      </w:r>
    </w:p>
    <w:p>
      <w:pPr>
        <w:pStyle w:val="nzIndenta"/>
      </w:pPr>
      <w:r>
        <w:tab/>
        <w:t>(a)</w:t>
      </w:r>
      <w:r>
        <w:tab/>
        <w:t>that the offence was committed without the member’s consent or connivance; and</w:t>
      </w:r>
    </w:p>
    <w:p>
      <w:pPr>
        <w:pStyle w:val="nzIndenta"/>
      </w:pPr>
      <w:r>
        <w:tab/>
        <w:t>(b)</w:t>
      </w:r>
      <w:r>
        <w:tab/>
        <w:t>that the member took all the measures to prevent the commission of the offence that he or she could reasonably be expected to have taken having regard to the member’s functions and to all the circumstances.</w:t>
      </w:r>
    </w:p>
    <w:p>
      <w:pPr>
        <w:pStyle w:val="MiscClose"/>
      </w:pPr>
      <w:r>
        <w:t xml:space="preserve">    ”.</w:t>
      </w:r>
    </w:p>
    <w:p>
      <w:pPr>
        <w:pStyle w:val="nzHeading5"/>
      </w:pPr>
      <w:bookmarkStart w:id="677" w:name="_Toc121624859"/>
      <w:bookmarkStart w:id="678" w:name="_Toc176064244"/>
      <w:bookmarkStart w:id="679" w:name="_Toc186854060"/>
      <w:r>
        <w:rPr>
          <w:rStyle w:val="CharSectno"/>
        </w:rPr>
        <w:t>55</w:t>
      </w:r>
      <w:r>
        <w:t>.</w:t>
      </w:r>
      <w:r>
        <w:tab/>
        <w:t>Regulation 67 replaced</w:t>
      </w:r>
      <w:bookmarkEnd w:id="677"/>
      <w:bookmarkEnd w:id="678"/>
      <w:bookmarkEnd w:id="679"/>
    </w:p>
    <w:p>
      <w:pPr>
        <w:pStyle w:val="nzSubsection"/>
      </w:pPr>
      <w:r>
        <w:tab/>
      </w:r>
      <w:r>
        <w:tab/>
        <w:t xml:space="preserve">Regulation 67 is repealed and the following regulation is inserted instead — </w:t>
      </w:r>
    </w:p>
    <w:p>
      <w:pPr>
        <w:pStyle w:val="MiscOpen"/>
      </w:pPr>
      <w:r>
        <w:t xml:space="preserve">“    </w:t>
      </w:r>
    </w:p>
    <w:p>
      <w:pPr>
        <w:pStyle w:val="nzHeading5"/>
      </w:pPr>
      <w:bookmarkStart w:id="680" w:name="_Toc176064245"/>
      <w:bookmarkStart w:id="681" w:name="_Toc186854061"/>
      <w:r>
        <w:t>67.</w:t>
      </w:r>
      <w:r>
        <w:tab/>
        <w:t>Saving and transitional provisions</w:t>
      </w:r>
      <w:bookmarkEnd w:id="680"/>
      <w:bookmarkEnd w:id="681"/>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the </w:t>
      </w:r>
      <w:r>
        <w:rPr>
          <w:i/>
          <w:iCs/>
        </w:rPr>
        <w:t>Electricity (Licensing) Amendment Regulations 2007</w:t>
      </w:r>
      <w:r>
        <w:t xml:space="preserve"> regulation 55 comes into operation.</w:t>
      </w:r>
    </w:p>
    <w:p>
      <w:pPr>
        <w:pStyle w:val="nz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nzSubsection"/>
      </w:pPr>
      <w:r>
        <w:tab/>
        <w:t>(3)</w:t>
      </w:r>
      <w:r>
        <w:tab/>
        <w:t xml:space="preserve">A provision of these regulations that — </w:t>
      </w:r>
    </w:p>
    <w:p>
      <w:pPr>
        <w:pStyle w:val="nzIndenta"/>
      </w:pPr>
      <w:r>
        <w:tab/>
        <w:t>(a)</w:t>
      </w:r>
      <w:r>
        <w:tab/>
        <w:t>apart from this subregulation, would cease to have effect or would have a modified effect on the commencement day; and</w:t>
      </w:r>
    </w:p>
    <w:p>
      <w:pPr>
        <w:pStyle w:val="nzIndenta"/>
      </w:pPr>
      <w:r>
        <w:tab/>
        <w:t>(b)</w:t>
      </w:r>
      <w:r>
        <w:tab/>
        <w:t>is required to continue to have the effect it had immediately before the commencement day for the purposes of subregulation (2),</w:t>
      </w:r>
    </w:p>
    <w:p>
      <w:pPr>
        <w:pStyle w:val="nzSubsection"/>
      </w:pPr>
      <w:r>
        <w:tab/>
      </w:r>
      <w:r>
        <w:tab/>
        <w:t>continues to have that effect for those purposes.</w:t>
      </w:r>
    </w:p>
    <w:p>
      <w:pPr>
        <w:pStyle w:val="nz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nz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nzMiscellaneousHeading"/>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nzTable"/>
            </w:pPr>
            <w:r>
              <w:rPr>
                <w:b/>
                <w:bCs/>
                <w:iCs/>
              </w:rPr>
              <w:t>Column 1</w:t>
            </w:r>
          </w:p>
        </w:tc>
        <w:tc>
          <w:tcPr>
            <w:tcW w:w="2835" w:type="dxa"/>
            <w:tcBorders>
              <w:top w:val="single" w:sz="4" w:space="0" w:color="auto"/>
              <w:bottom w:val="single" w:sz="4" w:space="0" w:color="auto"/>
            </w:tcBorders>
          </w:tcPr>
          <w:p>
            <w:pPr>
              <w:pStyle w:val="nzTable"/>
            </w:pPr>
            <w:r>
              <w:rPr>
                <w:b/>
                <w:bCs/>
                <w:iCs/>
              </w:rPr>
              <w:t>Column 2</w:t>
            </w:r>
          </w:p>
        </w:tc>
      </w:tr>
      <w:tr>
        <w:tc>
          <w:tcPr>
            <w:tcW w:w="2835" w:type="dxa"/>
            <w:tcBorders>
              <w:top w:val="single" w:sz="4" w:space="0" w:color="auto"/>
            </w:tcBorders>
          </w:tcPr>
          <w:p>
            <w:pPr>
              <w:pStyle w:val="nzTable"/>
            </w:pPr>
            <w:r>
              <w:t>“A” grade licence</w:t>
            </w:r>
          </w:p>
        </w:tc>
        <w:tc>
          <w:tcPr>
            <w:tcW w:w="2835" w:type="dxa"/>
            <w:tcBorders>
              <w:top w:val="single" w:sz="4" w:space="0" w:color="auto"/>
            </w:tcBorders>
          </w:tcPr>
          <w:p>
            <w:pPr>
              <w:pStyle w:val="nzTable"/>
            </w:pPr>
            <w:r>
              <w:t>electrician’s licence</w:t>
            </w:r>
          </w:p>
        </w:tc>
      </w:tr>
      <w:tr>
        <w:tc>
          <w:tcPr>
            <w:tcW w:w="2835" w:type="dxa"/>
          </w:tcPr>
          <w:p>
            <w:pPr>
              <w:pStyle w:val="nzTable"/>
            </w:pPr>
            <w:r>
              <w:t>“C” grade licence</w:t>
            </w:r>
          </w:p>
        </w:tc>
        <w:tc>
          <w:tcPr>
            <w:tcW w:w="2835" w:type="dxa"/>
          </w:tcPr>
          <w:p>
            <w:pPr>
              <w:pStyle w:val="nzTable"/>
            </w:pPr>
            <w:r>
              <w:t>electrician’s training licence</w:t>
            </w:r>
          </w:p>
        </w:tc>
      </w:tr>
      <w:tr>
        <w:tc>
          <w:tcPr>
            <w:tcW w:w="2835" w:type="dxa"/>
            <w:tcBorders>
              <w:bottom w:val="single" w:sz="4" w:space="0" w:color="auto"/>
            </w:tcBorders>
          </w:tcPr>
          <w:p>
            <w:pPr>
              <w:pStyle w:val="nzTable"/>
            </w:pPr>
            <w:r>
              <w:t>restricted licence</w:t>
            </w:r>
          </w:p>
        </w:tc>
        <w:tc>
          <w:tcPr>
            <w:tcW w:w="2835" w:type="dxa"/>
            <w:tcBorders>
              <w:bottom w:val="single" w:sz="4" w:space="0" w:color="auto"/>
            </w:tcBorders>
          </w:tcPr>
          <w:p>
            <w:pPr>
              <w:pStyle w:val="nzTable"/>
            </w:pPr>
            <w:r>
              <w:t xml:space="preserve">restricted licence </w:t>
            </w:r>
          </w:p>
        </w:tc>
      </w:tr>
    </w:tbl>
    <w:p>
      <w:pPr>
        <w:pStyle w:val="MiscClose"/>
      </w:pPr>
      <w:r>
        <w:t xml:space="preserve">    ”.</w:t>
      </w:r>
    </w:p>
    <w:p>
      <w:pPr>
        <w:pStyle w:val="nzHeading5"/>
      </w:pPr>
      <w:bookmarkStart w:id="682" w:name="_Toc121624860"/>
      <w:bookmarkStart w:id="683" w:name="_Toc176064246"/>
      <w:bookmarkStart w:id="684" w:name="_Toc186854062"/>
      <w:r>
        <w:rPr>
          <w:rStyle w:val="CharSectno"/>
        </w:rPr>
        <w:t>56</w:t>
      </w:r>
      <w:r>
        <w:t>.</w:t>
      </w:r>
      <w:r>
        <w:tab/>
        <w:t>Schedule 1 amended</w:t>
      </w:r>
      <w:bookmarkEnd w:id="682"/>
      <w:bookmarkEnd w:id="683"/>
      <w:bookmarkEnd w:id="684"/>
    </w:p>
    <w:p>
      <w:pPr>
        <w:pStyle w:val="nzSubsection"/>
      </w:pPr>
      <w:r>
        <w:tab/>
      </w:r>
      <w:r>
        <w:tab/>
        <w:t>Schedule 1 is amended as follows:</w:t>
      </w:r>
    </w:p>
    <w:p>
      <w:pPr>
        <w:pStyle w:val="nzIndenta"/>
      </w:pPr>
      <w:r>
        <w:tab/>
        <w:t>(a)</w:t>
      </w:r>
      <w:r>
        <w:tab/>
        <w:t>in item 1(b) by deleting “holder”;</w:t>
      </w:r>
    </w:p>
    <w:p>
      <w:pPr>
        <w:pStyle w:val="nzIndenta"/>
      </w:pPr>
      <w:r>
        <w:tab/>
        <w:t>(b)</w:t>
      </w:r>
      <w:r>
        <w:tab/>
        <w:t xml:space="preserve">in item 2(b) by deleting “a contractor” and inserting instead — </w:t>
      </w:r>
    </w:p>
    <w:p>
      <w:pPr>
        <w:pStyle w:val="nzIndenta"/>
      </w:pPr>
      <w:r>
        <w:tab/>
      </w:r>
      <w:r>
        <w:tab/>
        <w:t xml:space="preserve">“    </w:t>
      </w:r>
      <w:r>
        <w:rPr>
          <w:sz w:val="22"/>
        </w:rPr>
        <w:t>electrical contractor’s licence</w:t>
      </w:r>
      <w:r>
        <w:t xml:space="preserve">    ”;</w:t>
      </w:r>
    </w:p>
    <w:p>
      <w:pPr>
        <w:pStyle w:val="nzIndenta"/>
      </w:pPr>
      <w:r>
        <w:tab/>
        <w:t>(c)</w:t>
      </w:r>
      <w:r>
        <w:tab/>
        <w:t xml:space="preserve">in item 2(c) after “work” by inserting — </w:t>
      </w:r>
    </w:p>
    <w:p>
      <w:pPr>
        <w:pStyle w:val="nzIndenta"/>
        <w:rPr>
          <w:sz w:val="22"/>
        </w:rPr>
      </w:pPr>
      <w:r>
        <w:tab/>
      </w:r>
      <w:r>
        <w:tab/>
        <w:t xml:space="preserve">“    </w:t>
      </w:r>
      <w:r>
        <w:rPr>
          <w:sz w:val="22"/>
        </w:rPr>
        <w:t>licence    ”;</w:t>
      </w:r>
    </w:p>
    <w:p>
      <w:pPr>
        <w:pStyle w:val="nzIndenta"/>
      </w:pPr>
      <w:r>
        <w:tab/>
        <w:t>(d)</w:t>
      </w:r>
      <w:r>
        <w:tab/>
        <w:t xml:space="preserve">after item 2(c) by inserting the following subitems — </w:t>
      </w:r>
    </w:p>
    <w:p>
      <w:pPr>
        <w:pStyle w:val="MiscOpen"/>
        <w:tabs>
          <w:tab w:val="clear" w:pos="893"/>
        </w:tabs>
        <w:ind w:firstLine="1276"/>
      </w:pPr>
      <w:r>
        <w:t xml:space="preserve">“    </w:t>
      </w:r>
    </w:p>
    <w:tbl>
      <w:tblPr>
        <w:tblW w:w="0" w:type="auto"/>
        <w:tblInd w:w="1668" w:type="dxa"/>
        <w:tblLayout w:type="fixed"/>
        <w:tblLook w:val="0000" w:firstRow="0" w:lastRow="0" w:firstColumn="0" w:lastColumn="0" w:noHBand="0" w:noVBand="0"/>
      </w:tblPr>
      <w:tblGrid>
        <w:gridCol w:w="708"/>
        <w:gridCol w:w="3828"/>
        <w:gridCol w:w="708"/>
      </w:tblGrid>
      <w:tr>
        <w:tc>
          <w:tcPr>
            <w:tcW w:w="708" w:type="dxa"/>
          </w:tcPr>
          <w:p>
            <w:pPr>
              <w:pStyle w:val="nzTable"/>
            </w:pPr>
            <w:r>
              <w:t>(ca)</w:t>
            </w:r>
          </w:p>
        </w:tc>
        <w:tc>
          <w:tcPr>
            <w:tcW w:w="3828" w:type="dxa"/>
          </w:tcPr>
          <w:p>
            <w:pPr>
              <w:pStyle w:val="nzTable"/>
            </w:pPr>
            <w:r>
              <w:t>Replacing or adding nominee: electrical contractor’s licence …………………….</w:t>
            </w:r>
          </w:p>
        </w:tc>
        <w:tc>
          <w:tcPr>
            <w:tcW w:w="708" w:type="dxa"/>
          </w:tcPr>
          <w:p>
            <w:pPr>
              <w:pStyle w:val="nzTable"/>
            </w:pPr>
            <w:r>
              <w:br/>
              <w:t>340</w:t>
            </w:r>
          </w:p>
        </w:tc>
      </w:tr>
      <w:tr>
        <w:tc>
          <w:tcPr>
            <w:tcW w:w="708" w:type="dxa"/>
          </w:tcPr>
          <w:p>
            <w:pPr>
              <w:pStyle w:val="nzTable"/>
            </w:pPr>
            <w:r>
              <w:t>(cb)</w:t>
            </w:r>
          </w:p>
        </w:tc>
        <w:tc>
          <w:tcPr>
            <w:tcW w:w="3828" w:type="dxa"/>
          </w:tcPr>
          <w:p>
            <w:pPr>
              <w:pStyle w:val="nzTable"/>
            </w:pPr>
            <w:r>
              <w:t>Replacing or adding nominee: in</w:t>
            </w:r>
            <w:r>
              <w:noBreakHyphen/>
              <w:t>house electrical installing work licence ………</w:t>
            </w:r>
          </w:p>
        </w:tc>
        <w:tc>
          <w:tcPr>
            <w:tcW w:w="708" w:type="dxa"/>
          </w:tcPr>
          <w:p>
            <w:pPr>
              <w:pStyle w:val="nzTable"/>
            </w:pPr>
            <w:r>
              <w:br/>
              <w:t>170</w:t>
            </w:r>
          </w:p>
        </w:tc>
      </w:tr>
    </w:tbl>
    <w:p>
      <w:pPr>
        <w:pStyle w:val="MiscClose"/>
      </w:pPr>
      <w:r>
        <w:t xml:space="preserve">    ”.</w:t>
      </w:r>
    </w:p>
    <w:p>
      <w:pPr>
        <w:pStyle w:val="nzHeading5"/>
      </w:pPr>
      <w:bookmarkStart w:id="685" w:name="_Toc121624861"/>
      <w:bookmarkStart w:id="686" w:name="_Toc176064247"/>
      <w:bookmarkStart w:id="687" w:name="_Toc186854063"/>
      <w:r>
        <w:rPr>
          <w:rStyle w:val="CharSectno"/>
        </w:rPr>
        <w:t>57</w:t>
      </w:r>
      <w:r>
        <w:t>.</w:t>
      </w:r>
      <w:r>
        <w:tab/>
        <w:t>Amendments relating to “appointed day”</w:t>
      </w:r>
      <w:bookmarkEnd w:id="685"/>
      <w:bookmarkEnd w:id="686"/>
      <w:bookmarkEnd w:id="687"/>
    </w:p>
    <w:p>
      <w:pPr>
        <w:pStyle w:val="nzSubsection"/>
      </w:pPr>
      <w:r>
        <w:tab/>
        <w:t>(1)</w:t>
      </w:r>
      <w:r>
        <w:tab/>
        <w:t>Regulation 3(1) is amended by deleting the definition of “appointed day”.</w:t>
      </w:r>
    </w:p>
    <w:p>
      <w:pPr>
        <w:pStyle w:val="nzSubsection"/>
      </w:pPr>
      <w:r>
        <w:tab/>
        <w:t>(2)</w:t>
      </w:r>
      <w:r>
        <w:tab/>
        <w:t>Regulation 3(2) is repealed.</w:t>
      </w:r>
    </w:p>
    <w:p>
      <w:pPr>
        <w:pStyle w:val="nzSubsection"/>
      </w:pPr>
      <w:r>
        <w:tab/>
        <w:t>(3)</w:t>
      </w:r>
      <w:r>
        <w:tab/>
        <w:t>Regulation 19(1) is amended by deleting “, on or after the appointed day,”.</w:t>
      </w:r>
    </w:p>
    <w:p>
      <w:pPr>
        <w:pStyle w:val="nzSubsection"/>
      </w:pPr>
      <w:r>
        <w:tab/>
        <w:t>(4)</w:t>
      </w:r>
      <w:r>
        <w:tab/>
        <w:t>Regulation 33(1) is amended by deleting “, on or after the appointed day,”.</w:t>
      </w:r>
    </w:p>
    <w:p>
      <w:pPr>
        <w:pStyle w:val="nzSubsection"/>
      </w:pPr>
      <w:r>
        <w:tab/>
        <w:t>(5)</w:t>
      </w:r>
      <w:r>
        <w:tab/>
        <w:t xml:space="preserve">Regulation 37(1) is amended by deleting “On and after the appointed day, a” and inserting instead — </w:t>
      </w:r>
    </w:p>
    <w:p>
      <w:pPr>
        <w:pStyle w:val="nzSubsection"/>
      </w:pPr>
      <w:r>
        <w:tab/>
      </w:r>
      <w:r>
        <w:tab/>
        <w:t>“    A    ”.</w:t>
      </w:r>
    </w:p>
    <w:p>
      <w:pPr>
        <w:pStyle w:val="nzHeading5"/>
      </w:pPr>
      <w:bookmarkStart w:id="688" w:name="_Toc176064248"/>
      <w:bookmarkStart w:id="689" w:name="_Toc186854064"/>
      <w:r>
        <w:rPr>
          <w:rStyle w:val="CharSectno"/>
        </w:rPr>
        <w:t>58</w:t>
      </w:r>
      <w:r>
        <w:t>.</w:t>
      </w:r>
      <w:r>
        <w:tab/>
        <w:t>A</w:t>
      </w:r>
      <w:bookmarkStart w:id="690" w:name="_Toc121624862"/>
      <w:r>
        <w:t>mendments relating to “nominee”</w:t>
      </w:r>
      <w:bookmarkEnd w:id="688"/>
      <w:bookmarkEnd w:id="689"/>
      <w:bookmarkEnd w:id="690"/>
    </w:p>
    <w:p>
      <w:pPr>
        <w:pStyle w:val="nzSubsection"/>
      </w:pPr>
      <w:r>
        <w:tab/>
        <w:t>(1)</w:t>
      </w:r>
      <w:r>
        <w:tab/>
        <w:t xml:space="preserve">Regulation 3(1) is amended by deleting the definition of “nominated electrical worker” and inserting in the appropriate alphabetical position — </w:t>
      </w:r>
    </w:p>
    <w:p>
      <w:pPr>
        <w:pStyle w:val="MiscOpen"/>
        <w:keepLines w:val="0"/>
        <w:ind w:left="879"/>
      </w:pPr>
      <w:r>
        <w:t xml:space="preserve">“    </w:t>
      </w:r>
    </w:p>
    <w:p>
      <w:pPr>
        <w:pStyle w:val="nzDefstart"/>
      </w:pPr>
      <w:r>
        <w:tab/>
      </w:r>
      <w:r>
        <w:rPr>
          <w:b/>
        </w:rPr>
        <w:t>“</w:t>
      </w:r>
      <w:r>
        <w:rPr>
          <w:rStyle w:val="CharDefText"/>
        </w:rPr>
        <w:t>nominee</w:t>
      </w:r>
      <w:bookmarkStart w:id="691" w:name="endcomma"/>
      <w:bookmarkEnd w:id="691"/>
      <w:r>
        <w:rPr>
          <w:b/>
        </w:rPr>
        <w:t>”</w:t>
      </w:r>
      <w:r>
        <w:t>,</w:t>
      </w:r>
      <w:bookmarkStart w:id="692" w:name="comma"/>
      <w:bookmarkEnd w:id="692"/>
      <w:r>
        <w:t xml:space="preserve"> in relation to a licence under Part 4, means a person for the time being nominated for the purposes of regulation 36(1), (2) or (3) or 37(1) in respect of that licence;</w:t>
      </w:r>
    </w:p>
    <w:p>
      <w:pPr>
        <w:pStyle w:val="MiscClose"/>
      </w:pPr>
      <w:r>
        <w:t xml:space="preserve">    ”.</w:t>
      </w:r>
    </w:p>
    <w:p>
      <w:pPr>
        <w:pStyle w:val="nzSubsection"/>
      </w:pPr>
      <w:r>
        <w:tab/>
        <w:t>(2)</w:t>
      </w:r>
      <w:r>
        <w:tab/>
        <w:t xml:space="preserve">The provisions listed in the Table to this subregulation are amended by deleting “nominated electrical worker” in each place where it occurs and inserting in each place instead — </w:t>
      </w:r>
    </w:p>
    <w:p>
      <w:pPr>
        <w:pStyle w:val="nzSubsection"/>
      </w:pPr>
      <w:r>
        <w:tab/>
      </w:r>
      <w:r>
        <w:tab/>
        <w:t>“    nominee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2835"/>
      </w:tblGrid>
      <w:tr>
        <w:tc>
          <w:tcPr>
            <w:tcW w:w="2977" w:type="dxa"/>
          </w:tcPr>
          <w:p>
            <w:pPr>
              <w:pStyle w:val="nzTable"/>
            </w:pPr>
            <w:r>
              <w:t>r. 31(2)(b)</w:t>
            </w:r>
          </w:p>
        </w:tc>
        <w:tc>
          <w:tcPr>
            <w:tcW w:w="2835" w:type="dxa"/>
          </w:tcPr>
          <w:p>
            <w:pPr>
              <w:pStyle w:val="nzTable"/>
            </w:pPr>
            <w:r>
              <w:t>r. 38(6) (in 2 places)</w:t>
            </w:r>
          </w:p>
        </w:tc>
      </w:tr>
      <w:tr>
        <w:tc>
          <w:tcPr>
            <w:tcW w:w="2977" w:type="dxa"/>
          </w:tcPr>
          <w:p>
            <w:pPr>
              <w:pStyle w:val="nzTable"/>
            </w:pPr>
            <w:r>
              <w:t>r. 31A(1)(d)</w:t>
            </w:r>
          </w:p>
        </w:tc>
        <w:tc>
          <w:tcPr>
            <w:tcW w:w="2835" w:type="dxa"/>
          </w:tcPr>
          <w:p>
            <w:pPr>
              <w:pStyle w:val="nzTable"/>
            </w:pPr>
            <w:r>
              <w:t>r. 38(7)</w:t>
            </w:r>
          </w:p>
        </w:tc>
      </w:tr>
      <w:tr>
        <w:tc>
          <w:tcPr>
            <w:tcW w:w="2977" w:type="dxa"/>
          </w:tcPr>
          <w:p>
            <w:pPr>
              <w:pStyle w:val="nzTable"/>
            </w:pPr>
            <w:r>
              <w:t>r. 38(3)</w:t>
            </w:r>
          </w:p>
        </w:tc>
        <w:tc>
          <w:tcPr>
            <w:tcW w:w="2835" w:type="dxa"/>
          </w:tcPr>
          <w:p>
            <w:pPr>
              <w:pStyle w:val="nzTable"/>
            </w:pPr>
            <w:r>
              <w:t>r. 54(1)(b) and (c)</w:t>
            </w:r>
          </w:p>
        </w:tc>
      </w:tr>
      <w:tr>
        <w:tc>
          <w:tcPr>
            <w:tcW w:w="2977" w:type="dxa"/>
          </w:tcPr>
          <w:p>
            <w:pPr>
              <w:pStyle w:val="nzTable"/>
            </w:pPr>
            <w:r>
              <w:t>r. 38(4) (in 2 places)</w:t>
            </w:r>
          </w:p>
        </w:tc>
        <w:tc>
          <w:tcPr>
            <w:tcW w:w="2835" w:type="dxa"/>
          </w:tcPr>
          <w:p>
            <w:pPr>
              <w:pStyle w:val="nzTable"/>
            </w:pPr>
            <w:r>
              <w:t>r. 54(2)(a)</w:t>
            </w:r>
          </w:p>
        </w:tc>
      </w:tr>
      <w:tr>
        <w:tc>
          <w:tcPr>
            <w:tcW w:w="2977" w:type="dxa"/>
          </w:tcPr>
          <w:p>
            <w:pPr>
              <w:pStyle w:val="nzTable"/>
            </w:pPr>
            <w:r>
              <w:t>r. 38(5) (in 3 places)</w:t>
            </w:r>
          </w:p>
        </w:tc>
        <w:tc>
          <w:tcPr>
            <w:tcW w:w="2835" w:type="dxa"/>
          </w:tcPr>
          <w:p>
            <w:pPr>
              <w:pStyle w:val="nzTable"/>
            </w:pPr>
          </w:p>
        </w:tc>
      </w:tr>
    </w:tbl>
    <w:p>
      <w:pPr>
        <w:pStyle w:val="nzHeading5"/>
      </w:pPr>
      <w:bookmarkStart w:id="693" w:name="_Toc121624863"/>
      <w:bookmarkStart w:id="694" w:name="_Toc176064249"/>
      <w:bookmarkStart w:id="695" w:name="_Toc186854065"/>
      <w:r>
        <w:rPr>
          <w:rStyle w:val="CharSectno"/>
        </w:rPr>
        <w:t>59</w:t>
      </w:r>
      <w:r>
        <w:t>.</w:t>
      </w:r>
      <w:r>
        <w:tab/>
        <w:t>Amendments relating to “network operator”</w:t>
      </w:r>
      <w:bookmarkEnd w:id="693"/>
      <w:bookmarkEnd w:id="694"/>
      <w:bookmarkEnd w:id="695"/>
    </w:p>
    <w:p>
      <w:pPr>
        <w:pStyle w:val="nzSubsection"/>
      </w:pPr>
      <w:r>
        <w:tab/>
        <w:t>(1)</w:t>
      </w:r>
      <w:r>
        <w:tab/>
        <w:t>Regulation 3(1)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network operator</w:t>
      </w:r>
      <w:r>
        <w:rPr>
          <w:b/>
        </w:rPr>
        <w:t>”</w:t>
      </w:r>
      <w:r>
        <w:t xml:space="preserve"> means a supply authority and any other person lawfully operating transmission or distribution works;</w:t>
      </w:r>
    </w:p>
    <w:p>
      <w:pPr>
        <w:pStyle w:val="MiscClose"/>
      </w:pPr>
      <w:r>
        <w:t xml:space="preserve">    ”;</w:t>
      </w:r>
    </w:p>
    <w:p>
      <w:pPr>
        <w:pStyle w:val="nzIndenta"/>
      </w:pPr>
      <w:r>
        <w:tab/>
        <w:t>(b)</w:t>
      </w:r>
      <w:r>
        <w:tab/>
        <w:t xml:space="preserve">by deleting the definition of “the relevant supply authority” and inserting instead — </w:t>
      </w:r>
    </w:p>
    <w:p>
      <w:pPr>
        <w:pStyle w:val="MiscOpen"/>
        <w:keepLines w:val="0"/>
        <w:ind w:left="879"/>
      </w:pPr>
      <w:r>
        <w:t xml:space="preserve">“    </w:t>
      </w:r>
    </w:p>
    <w:p>
      <w:pPr>
        <w:pStyle w:val="nzDefstart"/>
      </w:pPr>
      <w:r>
        <w:rPr>
          <w:b/>
        </w:rPr>
        <w:tab/>
        <w:t>“</w:t>
      </w:r>
      <w:r>
        <w:rPr>
          <w:rStyle w:val="CharDefText"/>
        </w:rPr>
        <w:t>relevant network operator</w:t>
      </w:r>
      <w:r>
        <w:rPr>
          <w:b/>
        </w:rPr>
        <w:t>”</w:t>
      </w:r>
      <w:r>
        <w:t xml:space="preserve"> means — </w:t>
      </w:r>
    </w:p>
    <w:p>
      <w:pPr>
        <w:pStyle w:val="nzDefpara"/>
      </w:pPr>
      <w:r>
        <w:tab/>
        <w:t>(a)</w:t>
      </w:r>
      <w:r>
        <w:tab/>
        <w:t>for an electrical installation that is, or is to be, supplied with electricity by a network operator — the network operator; or</w:t>
      </w:r>
    </w:p>
    <w:p>
      <w:pPr>
        <w:pStyle w:val="nzDefpara"/>
      </w:pPr>
      <w:r>
        <w:tab/>
        <w:t>(b)</w:t>
      </w:r>
      <w:r>
        <w:tab/>
        <w:t>for an electrical installation that is not, and is not to be, supplied with electricity by a network operator — the Director;</w:t>
      </w:r>
    </w:p>
    <w:p>
      <w:pPr>
        <w:pStyle w:val="MiscClose"/>
      </w:pPr>
      <w:r>
        <w:t xml:space="preserve">    ”.</w:t>
      </w:r>
    </w:p>
    <w:p>
      <w:pPr>
        <w:pStyle w:val="nzSubsection"/>
      </w:pPr>
      <w:r>
        <w:tab/>
        <w:t>(2)</w:t>
      </w:r>
      <w:r>
        <w:tab/>
        <w:t xml:space="preserve">The provisions listed in the Table to this subregulation are amended by deleting “supply authority” in each place where it occurs and inserting in each place instead — </w:t>
      </w:r>
    </w:p>
    <w:p>
      <w:pPr>
        <w:pStyle w:val="nzSubsection"/>
      </w:pPr>
      <w:r>
        <w:tab/>
      </w:r>
      <w:r>
        <w:tab/>
        <w:t>“    network operator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835"/>
        <w:gridCol w:w="2977"/>
      </w:tblGrid>
      <w:tr>
        <w:tc>
          <w:tcPr>
            <w:tcW w:w="2835" w:type="dxa"/>
          </w:tcPr>
          <w:p>
            <w:pPr>
              <w:pStyle w:val="nzTable"/>
            </w:pPr>
            <w:r>
              <w:t>r. 3(1), definition of “private generating plant”</w:t>
            </w:r>
          </w:p>
        </w:tc>
        <w:tc>
          <w:tcPr>
            <w:tcW w:w="2977" w:type="dxa"/>
          </w:tcPr>
          <w:p>
            <w:pPr>
              <w:pStyle w:val="nzTable"/>
            </w:pPr>
            <w:r>
              <w:t>r. 52(3)</w:t>
            </w:r>
          </w:p>
        </w:tc>
      </w:tr>
      <w:tr>
        <w:tc>
          <w:tcPr>
            <w:tcW w:w="2835" w:type="dxa"/>
          </w:tcPr>
          <w:p>
            <w:pPr>
              <w:pStyle w:val="nzTable"/>
            </w:pPr>
            <w:r>
              <w:t>r. 19(2)(e) (in 2 places)</w:t>
            </w:r>
          </w:p>
        </w:tc>
        <w:tc>
          <w:tcPr>
            <w:tcW w:w="2977" w:type="dxa"/>
          </w:tcPr>
          <w:p>
            <w:pPr>
              <w:pStyle w:val="nzTable"/>
            </w:pPr>
            <w:r>
              <w:t>r. 53A(1)</w:t>
            </w:r>
          </w:p>
        </w:tc>
      </w:tr>
      <w:tr>
        <w:tc>
          <w:tcPr>
            <w:tcW w:w="2835" w:type="dxa"/>
          </w:tcPr>
          <w:p>
            <w:pPr>
              <w:pStyle w:val="nzTable"/>
            </w:pPr>
            <w:r>
              <w:t>r. 51(3), definition of “the required time”</w:t>
            </w:r>
          </w:p>
        </w:tc>
        <w:tc>
          <w:tcPr>
            <w:tcW w:w="2977" w:type="dxa"/>
          </w:tcPr>
          <w:p>
            <w:pPr>
              <w:pStyle w:val="nzTable"/>
            </w:pPr>
            <w:r>
              <w:t>r. 53A(2)</w:t>
            </w:r>
          </w:p>
        </w:tc>
      </w:tr>
    </w:tbl>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(Licensing)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2427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D885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3E29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9EB3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CAF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00CB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940F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98EC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0CE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79982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416A5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29CCE3B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25400</Words>
  <Characters>127767</Characters>
  <Application>Microsoft Office Word</Application>
  <DocSecurity>0</DocSecurity>
  <Lines>3549</Lines>
  <Paragraphs>1989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1991 - 03-d0-01</dc:title>
  <dc:subject/>
  <dc:creator/>
  <cp:keywords/>
  <dc:description/>
  <cp:lastModifiedBy>svcMRProcess</cp:lastModifiedBy>
  <cp:revision>4</cp:revision>
  <cp:lastPrinted>2006-06-01T00:35:00Z</cp:lastPrinted>
  <dcterms:created xsi:type="dcterms:W3CDTF">2018-09-11T07:22:00Z</dcterms:created>
  <dcterms:modified xsi:type="dcterms:W3CDTF">2018-09-11T07:22:00Z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20071231</vt:lpwstr>
  </property>
  <property fmtid="{D5CDD505-2E9C-101B-9397-08002B2CF9AE}" pid="4" name="DocumentType">
    <vt:lpwstr>Reg</vt:lpwstr>
  </property>
  <property fmtid="{D5CDD505-2E9C-101B-9397-08002B2CF9AE}" pid="5" name="OwlsUID">
    <vt:i4>4407</vt:i4>
  </property>
  <property fmtid="{D5CDD505-2E9C-101B-9397-08002B2CF9AE}" pid="6" name="ReprintNo">
    <vt:lpwstr>3</vt:lpwstr>
  </property>
  <property fmtid="{D5CDD505-2E9C-101B-9397-08002B2CF9AE}" pid="7" name="AsAtDate">
    <vt:lpwstr>31 Dec 2007</vt:lpwstr>
  </property>
  <property fmtid="{D5CDD505-2E9C-101B-9397-08002B2CF9AE}" pid="8" name="Suffix">
    <vt:lpwstr>03-d0-01</vt:lpwstr>
  </property>
</Properties>
</file>