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Diamond (Argyle Diamond Mines Joint Venture) Agreement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Diamond (Argyle Diamond Mines Joint Venture) Agreement Act 1981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_Toc199815978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_Toc199815979 \h </w:instrText>
      </w:r>
      <w:r>
        <w:fldChar w:fldCharType="separate"/>
      </w:r>
      <w:r>
        <w:t>2</w:t>
      </w:r>
      <w:r>
        <w:fldChar w:fldCharType="end"/>
      </w:r>
    </w:p>
    <w:p>
      <w:pPr>
        <w:pStyle w:val="TOC2"/>
        <w:tabs>
          <w:tab w:val="right" w:leader="dot" w:pos="7078"/>
        </w:tabs>
        <w:rPr>
          <w:b w:val="0"/>
          <w:sz w:val="24"/>
          <w:szCs w:val="24"/>
        </w:rPr>
      </w:pPr>
      <w:r>
        <w:rPr>
          <w:szCs w:val="30"/>
        </w:rPr>
        <w:t>Part II — Ratification of Agreement and supplementary agreements</w:t>
      </w:r>
    </w:p>
    <w:p>
      <w:pPr>
        <w:pStyle w:val="TOC8"/>
        <w:rPr>
          <w:sz w:val="24"/>
          <w:szCs w:val="24"/>
        </w:rPr>
      </w:pPr>
      <w:r>
        <w:rPr>
          <w:szCs w:val="24"/>
        </w:rPr>
        <w:t>3</w:t>
      </w:r>
      <w:r>
        <w:rPr>
          <w:snapToGrid w:val="0"/>
          <w:szCs w:val="24"/>
        </w:rPr>
        <w:t>.</w:t>
      </w:r>
      <w:r>
        <w:rPr>
          <w:snapToGrid w:val="0"/>
          <w:szCs w:val="24"/>
        </w:rPr>
        <w:tab/>
        <w:t>Agreement ratified and implementation authorised</w:t>
      </w:r>
      <w:r>
        <w:tab/>
      </w:r>
      <w:r>
        <w:fldChar w:fldCharType="begin"/>
      </w:r>
      <w:r>
        <w:instrText xml:space="preserve"> PAGEREF _Toc199815981 \h </w:instrText>
      </w:r>
      <w:r>
        <w:fldChar w:fldCharType="separate"/>
      </w:r>
      <w:r>
        <w:t>3</w:t>
      </w:r>
      <w:r>
        <w:fldChar w:fldCharType="end"/>
      </w:r>
    </w:p>
    <w:p>
      <w:pPr>
        <w:pStyle w:val="TOC8"/>
        <w:rPr>
          <w:sz w:val="24"/>
          <w:szCs w:val="24"/>
        </w:rPr>
      </w:pPr>
      <w:r>
        <w:rPr>
          <w:szCs w:val="24"/>
        </w:rPr>
        <w:t>3A.</w:t>
      </w:r>
      <w:r>
        <w:rPr>
          <w:szCs w:val="24"/>
        </w:rPr>
        <w:tab/>
        <w:t>First supplementary agreement</w:t>
      </w:r>
      <w:r>
        <w:tab/>
      </w:r>
      <w:r>
        <w:fldChar w:fldCharType="begin"/>
      </w:r>
      <w:r>
        <w:instrText xml:space="preserve"> PAGEREF _Toc199815982 \h </w:instrText>
      </w:r>
      <w:r>
        <w:fldChar w:fldCharType="separate"/>
      </w:r>
      <w:r>
        <w:t>3</w:t>
      </w:r>
      <w:r>
        <w:fldChar w:fldCharType="end"/>
      </w:r>
    </w:p>
    <w:p>
      <w:pPr>
        <w:pStyle w:val="TOC8"/>
        <w:rPr>
          <w:sz w:val="24"/>
          <w:szCs w:val="24"/>
        </w:rPr>
      </w:pPr>
      <w:r>
        <w:rPr>
          <w:szCs w:val="24"/>
        </w:rPr>
        <w:t>3B.</w:t>
      </w:r>
      <w:r>
        <w:rPr>
          <w:szCs w:val="24"/>
        </w:rPr>
        <w:tab/>
        <w:t>Second supplementary agreement</w:t>
      </w:r>
      <w:r>
        <w:tab/>
      </w:r>
      <w:r>
        <w:fldChar w:fldCharType="begin"/>
      </w:r>
      <w:r>
        <w:instrText xml:space="preserve"> PAGEREF _Toc199815983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_Toc199815984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r>
      <w:r>
        <w:rPr>
          <w:i/>
          <w:snapToGrid w:val="0"/>
          <w:szCs w:val="24"/>
        </w:rPr>
        <w:t>Money Lenders Act 1912</w:t>
      </w:r>
      <w:r>
        <w:rPr>
          <w:snapToGrid w:val="0"/>
          <w:szCs w:val="24"/>
        </w:rPr>
        <w:t xml:space="preserve"> not to apply</w:t>
      </w:r>
      <w:r>
        <w:tab/>
      </w:r>
      <w:r>
        <w:fldChar w:fldCharType="begin"/>
      </w:r>
      <w:r>
        <w:instrText xml:space="preserve"> PAGEREF _Toc199815985 \h </w:instrText>
      </w:r>
      <w:r>
        <w:fldChar w:fldCharType="separate"/>
      </w:r>
      <w:r>
        <w:t>4</w:t>
      </w:r>
      <w:r>
        <w:fldChar w:fldCharType="end"/>
      </w:r>
    </w:p>
    <w:p>
      <w:pPr>
        <w:pStyle w:val="TOC2"/>
        <w:tabs>
          <w:tab w:val="right" w:leader="dot" w:pos="7078"/>
        </w:tabs>
        <w:rPr>
          <w:b w:val="0"/>
          <w:sz w:val="24"/>
          <w:szCs w:val="24"/>
        </w:rPr>
      </w:pPr>
      <w:r>
        <w:rPr>
          <w:szCs w:val="30"/>
        </w:rPr>
        <w:t>Part III — Mining tenements and rights as to minerals</w:t>
      </w:r>
    </w:p>
    <w:p>
      <w:pPr>
        <w:pStyle w:val="TOC8"/>
        <w:rPr>
          <w:sz w:val="24"/>
          <w:szCs w:val="24"/>
        </w:rPr>
      </w:pPr>
      <w:r>
        <w:rPr>
          <w:szCs w:val="24"/>
        </w:rPr>
        <w:t>6</w:t>
      </w:r>
      <w:r>
        <w:rPr>
          <w:snapToGrid w:val="0"/>
          <w:szCs w:val="24"/>
        </w:rPr>
        <w:t>.</w:t>
      </w:r>
      <w:r>
        <w:rPr>
          <w:snapToGrid w:val="0"/>
          <w:szCs w:val="24"/>
        </w:rPr>
        <w:tab/>
        <w:t>Interpretation and application of this Part</w:t>
      </w:r>
      <w:r>
        <w:tab/>
      </w:r>
      <w:r>
        <w:fldChar w:fldCharType="begin"/>
      </w:r>
      <w:r>
        <w:instrText xml:space="preserve"> PAGEREF _Toc199815987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Registration and validity of certain mineral claims</w:t>
      </w:r>
      <w:r>
        <w:tab/>
      </w:r>
      <w:r>
        <w:fldChar w:fldCharType="begin"/>
      </w:r>
      <w:r>
        <w:instrText xml:space="preserve"> PAGEREF _Toc199815988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certain rights and interests of Company</w:t>
      </w:r>
      <w:r>
        <w:tab/>
      </w:r>
      <w:r>
        <w:fldChar w:fldCharType="begin"/>
      </w:r>
      <w:r>
        <w:instrText xml:space="preserve"> PAGEREF _Toc199815989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Termination of other rights and interests</w:t>
      </w:r>
      <w:r>
        <w:tab/>
      </w:r>
      <w:r>
        <w:fldChar w:fldCharType="begin"/>
      </w:r>
      <w:r>
        <w:instrText xml:space="preserve"> PAGEREF _Toc199815990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Effect of marking out of certain land</w:t>
      </w:r>
      <w:r>
        <w:tab/>
      </w:r>
      <w:r>
        <w:fldChar w:fldCharType="begin"/>
      </w:r>
      <w:r>
        <w:instrText xml:space="preserve"> PAGEREF _Toc199815991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Saving of applications</w:t>
      </w:r>
      <w:r>
        <w:tab/>
      </w:r>
      <w:r>
        <w:fldChar w:fldCharType="begin"/>
      </w:r>
      <w:r>
        <w:instrText xml:space="preserve"> PAGEREF _Toc199815992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Validity of mining lease under Agreement</w:t>
      </w:r>
      <w:r>
        <w:tab/>
      </w:r>
      <w:r>
        <w:fldChar w:fldCharType="begin"/>
      </w:r>
      <w:r>
        <w:instrText xml:space="preserve"> PAGEREF _Toc199815993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Continuation of mining tenements</w:t>
      </w:r>
      <w:r>
        <w:tab/>
      </w:r>
      <w:r>
        <w:fldChar w:fldCharType="begin"/>
      </w:r>
      <w:r>
        <w:instrText xml:space="preserve"> PAGEREF _Toc199815994 \h </w:instrText>
      </w:r>
      <w:r>
        <w:fldChar w:fldCharType="separate"/>
      </w:r>
      <w:r>
        <w:t>15</w:t>
      </w:r>
      <w:r>
        <w:fldChar w:fldCharType="end"/>
      </w:r>
    </w:p>
    <w:p>
      <w:pPr>
        <w:pStyle w:val="TOC2"/>
        <w:tabs>
          <w:tab w:val="right" w:leader="dot" w:pos="7078"/>
        </w:tabs>
        <w:rPr>
          <w:b w:val="0"/>
          <w:sz w:val="24"/>
          <w:szCs w:val="24"/>
        </w:rPr>
      </w:pPr>
      <w:r>
        <w:rPr>
          <w:szCs w:val="30"/>
        </w:rPr>
        <w:lastRenderedPageBreak/>
        <w:t>Part IV — Security of diamond mining and processing areas</w:t>
      </w:r>
    </w:p>
    <w:p>
      <w:pPr>
        <w:pStyle w:val="TOC8"/>
        <w:rPr>
          <w:sz w:val="24"/>
          <w:szCs w:val="24"/>
        </w:rPr>
      </w:pPr>
      <w:r>
        <w:rPr>
          <w:szCs w:val="24"/>
        </w:rPr>
        <w:t>14</w:t>
      </w:r>
      <w:r>
        <w:rPr>
          <w:snapToGrid w:val="0"/>
          <w:szCs w:val="24"/>
        </w:rPr>
        <w:t>.</w:t>
      </w:r>
      <w:r>
        <w:rPr>
          <w:snapToGrid w:val="0"/>
          <w:szCs w:val="24"/>
        </w:rPr>
        <w:tab/>
        <w:t>Interpretation of this Part</w:t>
      </w:r>
      <w:r>
        <w:tab/>
      </w:r>
      <w:r>
        <w:fldChar w:fldCharType="begin"/>
      </w:r>
      <w:r>
        <w:instrText xml:space="preserve"> PAGEREF _Toc199815996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Designated areas</w:t>
      </w:r>
      <w:r>
        <w:tab/>
      </w:r>
      <w:r>
        <w:fldChar w:fldCharType="begin"/>
      </w:r>
      <w:r>
        <w:instrText xml:space="preserve"> PAGEREF _Toc199815997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Unlawful possession of diamonds</w:t>
      </w:r>
      <w:r>
        <w:tab/>
      </w:r>
      <w:r>
        <w:fldChar w:fldCharType="begin"/>
      </w:r>
      <w:r>
        <w:instrText xml:space="preserve"> PAGEREF _Toc199815998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Entry to and egress from designated area</w:t>
      </w:r>
      <w:r>
        <w:tab/>
      </w:r>
      <w:r>
        <w:fldChar w:fldCharType="begin"/>
      </w:r>
      <w:r>
        <w:instrText xml:space="preserve"> PAGEREF _Toc199815999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Security officer may give direction etc. to persons on designated area</w:t>
      </w:r>
      <w:r>
        <w:tab/>
      </w:r>
      <w:r>
        <w:fldChar w:fldCharType="begin"/>
      </w:r>
      <w:r>
        <w:instrText xml:space="preserve"> PAGEREF _Toc199816000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Removal of persons and things</w:t>
      </w:r>
      <w:r>
        <w:tab/>
      </w:r>
      <w:r>
        <w:fldChar w:fldCharType="begin"/>
      </w:r>
      <w:r>
        <w:instrText xml:space="preserve"> PAGEREF _Toc199816001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Search of property</w:t>
      </w:r>
      <w:r>
        <w:tab/>
      </w:r>
      <w:r>
        <w:fldChar w:fldCharType="begin"/>
      </w:r>
      <w:r>
        <w:instrText xml:space="preserve"> PAGEREF _Toc199816002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Detention and search of persons</w:t>
      </w:r>
      <w:r>
        <w:tab/>
      </w:r>
      <w:r>
        <w:fldChar w:fldCharType="begin"/>
      </w:r>
      <w:r>
        <w:instrText xml:space="preserve"> PAGEREF _Toc199816003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Emergency action exempted</w:t>
      </w:r>
      <w:r>
        <w:tab/>
      </w:r>
      <w:r>
        <w:fldChar w:fldCharType="begin"/>
      </w:r>
      <w:r>
        <w:instrText xml:space="preserve"> PAGEREF _Toc199816004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Powers of police not affected</w:t>
      </w:r>
      <w:r>
        <w:tab/>
      </w:r>
      <w:r>
        <w:fldChar w:fldCharType="begin"/>
      </w:r>
      <w:r>
        <w:instrText xml:space="preserve"> PAGEREF _Toc199816005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Evidence</w:t>
      </w:r>
      <w:r>
        <w:tab/>
      </w:r>
      <w:r>
        <w:fldChar w:fldCharType="begin"/>
      </w:r>
      <w:r>
        <w:instrText xml:space="preserve"> PAGEREF _Toc199816006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Restitution of diamonds</w:t>
      </w:r>
      <w:r>
        <w:tab/>
      </w:r>
      <w:r>
        <w:fldChar w:fldCharType="begin"/>
      </w:r>
      <w:r>
        <w:instrText xml:space="preserve"> PAGEREF _Toc199816007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Security and Related Activities (Control) Act 1996</w:t>
      </w:r>
      <w:r>
        <w:rPr>
          <w:snapToGrid w:val="0"/>
          <w:szCs w:val="24"/>
        </w:rPr>
        <w:t xml:space="preserve"> to apply</w:t>
      </w:r>
      <w:r>
        <w:tab/>
      </w:r>
      <w:r>
        <w:fldChar w:fldCharType="begin"/>
      </w:r>
      <w:r>
        <w:instrText xml:space="preserve"> PAGEREF _Toc199816008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Offences under other Acts not excluded</w:t>
      </w:r>
      <w:r>
        <w:tab/>
      </w:r>
      <w:r>
        <w:fldChar w:fldCharType="begin"/>
      </w:r>
      <w:r>
        <w:instrText xml:space="preserve"> PAGEREF _Toc199816009 \h </w:instrText>
      </w:r>
      <w:r>
        <w:fldChar w:fldCharType="separate"/>
      </w:r>
      <w:r>
        <w:t>27</w:t>
      </w:r>
      <w:r>
        <w:fldChar w:fldCharType="end"/>
      </w:r>
    </w:p>
    <w:p>
      <w:pPr>
        <w:pStyle w:val="TOC8"/>
        <w:rPr>
          <w:sz w:val="24"/>
          <w:szCs w:val="24"/>
        </w:rPr>
      </w:pPr>
      <w:r>
        <w:rPr>
          <w:szCs w:val="24"/>
        </w:rPr>
        <w:t>28.</w:t>
      </w:r>
      <w:r>
        <w:rPr>
          <w:szCs w:val="24"/>
        </w:rPr>
        <w:tab/>
        <w:t>Exercise of powers lawful</w:t>
      </w:r>
      <w:r>
        <w:tab/>
      </w:r>
      <w:r>
        <w:fldChar w:fldCharType="begin"/>
      </w:r>
      <w:r>
        <w:instrText xml:space="preserve"> PAGEREF _Toc199816010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_Toc199816011 \h </w:instrText>
      </w:r>
      <w:r>
        <w:fldChar w:fldCharType="separate"/>
      </w:r>
      <w:r>
        <w:t>28</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_Toc199816017 \h </w:instrText>
      </w:r>
      <w:r>
        <w:fldChar w:fldCharType="separate"/>
      </w:r>
      <w:r>
        <w:t>122</w:t>
      </w:r>
      <w:r>
        <w:fldChar w:fldCharType="end"/>
      </w:r>
    </w:p>
    <w:p>
      <w:pPr>
        <w:pStyle w:val="TOC8"/>
        <w:rPr>
          <w:sz w:val="24"/>
        </w:rPr>
      </w:pPr>
      <w:r>
        <w:tab/>
        <w:t>Provisions that have not come into operation</w:t>
      </w:r>
      <w:r>
        <w:tab/>
      </w:r>
      <w:r>
        <w:fldChar w:fldCharType="begin"/>
      </w:r>
      <w:r>
        <w:instrText xml:space="preserve"> PAGEREF _Toc199816018 \h </w:instrText>
      </w:r>
      <w:r>
        <w:fldChar w:fldCharType="separate"/>
      </w:r>
      <w:r>
        <w:t>122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560"/>
      </w:pPr>
      <w:r>
        <w:t xml:space="preserve">Diamond (Argyle Diamond Mines Joint Venture) Agreement Act 1981 </w:t>
      </w:r>
    </w:p>
    <w:p>
      <w:pPr>
        <w:pStyle w:val="LongTitle"/>
        <w:rPr>
          <w:snapToGrid w:val="0"/>
        </w:rPr>
      </w:pPr>
      <w:r>
        <w:rPr>
          <w:snapToGrid w:val="0"/>
        </w:rPr>
        <w:t xml:space="preserve">An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bookmarkStart w:id="4" w:name="_Toc199739627"/>
      <w:bookmarkStart w:id="5" w:name="_Toc199739669"/>
      <w:bookmarkStart w:id="6" w:name="_Toc199739711"/>
      <w:bookmarkStart w:id="7" w:name="_Toc199739753"/>
      <w:bookmarkStart w:id="8" w:name="_Toc1998159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89957"/>
      <w:bookmarkStart w:id="10" w:name="_Toc590024"/>
      <w:bookmarkStart w:id="11" w:name="_Toc6212716"/>
      <w:bookmarkStart w:id="12" w:name="_Toc199739712"/>
      <w:bookmarkStart w:id="13" w:name="_Toc199815978"/>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14" w:name="_Toc589958"/>
      <w:bookmarkStart w:id="15" w:name="_Toc590025"/>
      <w:bookmarkStart w:id="16" w:name="_Toc6212717"/>
      <w:bookmarkStart w:id="17" w:name="_Toc199739713"/>
      <w:bookmarkStart w:id="18" w:name="_Toc199815979"/>
      <w:r>
        <w:rPr>
          <w:rStyle w:val="CharSectno"/>
        </w:rPr>
        <w:t>2</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2, and includes that agreement as altered from time to time in accordance with its provisions;</w:t>
      </w:r>
    </w:p>
    <w:p>
      <w:pPr>
        <w:pStyle w:val="Defstart"/>
      </w:pPr>
      <w:r>
        <w:rPr>
          <w:b/>
        </w:rPr>
        <w:tab/>
        <w:t>“</w:t>
      </w:r>
      <w:r>
        <w:rPr>
          <w:rStyle w:val="CharDefText"/>
        </w:rPr>
        <w:t>the Company</w:t>
      </w:r>
      <w:r>
        <w:rPr>
          <w:b/>
        </w:rPr>
        <w:t>”</w:t>
      </w:r>
      <w:r>
        <w:t xml:space="preserve"> means CRA Exploration Pty. Limited, a company incorporated in the State of New South Wales;</w:t>
      </w:r>
    </w:p>
    <w:p>
      <w:pPr>
        <w:pStyle w:val="Defstart"/>
      </w:pPr>
      <w:r>
        <w:tab/>
      </w:r>
      <w:r>
        <w:rPr>
          <w:b/>
          <w:snapToGrid/>
        </w:rPr>
        <w:t>“</w:t>
      </w:r>
      <w:r>
        <w:rPr>
          <w:rStyle w:val="CharDefText"/>
        </w:rPr>
        <w:t>the first supplementary agreement</w:t>
      </w:r>
      <w:r>
        <w:rPr>
          <w:b/>
          <w:snapToGrid/>
        </w:rPr>
        <w:t>”</w:t>
      </w:r>
      <w:r>
        <w:rPr>
          <w:snapToGrid/>
        </w:rPr>
        <w:t xml:space="preserve"> means the agreement a copy of which is set out in Schedule 3;</w:t>
      </w:r>
    </w:p>
    <w:p>
      <w:pPr>
        <w:pStyle w:val="Defstart"/>
      </w:pPr>
      <w:r>
        <w:rPr>
          <w:b/>
        </w:rPr>
        <w:tab/>
        <w:t>“</w:t>
      </w:r>
      <w:r>
        <w:rPr>
          <w:rStyle w:val="CharDefText"/>
        </w:rPr>
        <w:t>the Joint Venturers</w:t>
      </w:r>
      <w:r>
        <w:rPr>
          <w:b/>
        </w:rPr>
        <w:t>”</w:t>
      </w:r>
      <w:r>
        <w:t xml:space="preserve"> has the same meaning as that expression has in and for the purposes of the Agreement;</w:t>
      </w:r>
    </w:p>
    <w:p>
      <w:pPr>
        <w:pStyle w:val="Defstart"/>
      </w:pPr>
      <w:r>
        <w:fldChar w:fldCharType="begin"/>
      </w:r>
      <w:r>
        <w:instrText xml:space="preserve"> LISTNUM DefinitionNumbers \l1 </w:instrText>
      </w:r>
      <w:r>
        <w:fldChar w:fldCharType="end"/>
      </w:r>
      <w:r>
        <w:fldChar w:fldCharType="begin"/>
      </w:r>
      <w:r>
        <w:instrText xml:space="preserve"> LISTNUM DefinitionNumbers \l1 </w:instrText>
      </w:r>
      <w:r>
        <w:fldChar w:fldCharType="end"/>
      </w:r>
      <w:r>
        <w:tab/>
      </w:r>
      <w:r>
        <w:rPr>
          <w:b/>
        </w:rPr>
        <w:t>“</w:t>
      </w:r>
      <w:r>
        <w:rPr>
          <w:rStyle w:val="CharDefText"/>
        </w:rPr>
        <w:t>the second supplementary agreement</w:t>
      </w:r>
      <w:r>
        <w:rPr>
          <w:b/>
        </w:rPr>
        <w:t xml:space="preserve">” </w:t>
      </w:r>
      <w:r>
        <w:t>means the agreement a copy of which is set out in Schedule 4.</w:t>
      </w:r>
    </w:p>
    <w:p>
      <w:pPr>
        <w:pStyle w:val="Footnotesection"/>
      </w:pPr>
      <w:r>
        <w:tab/>
        <w:t xml:space="preserve">[Section 2 amended by No. 12 of 1983 s. 3; No. 39 of 2001 s. 4.] </w:t>
      </w:r>
    </w:p>
    <w:p>
      <w:pPr>
        <w:pStyle w:val="Heading2"/>
        <w:rPr>
          <w:rStyle w:val="CharPartText"/>
        </w:rPr>
      </w:pPr>
      <w:bookmarkStart w:id="19" w:name="_Toc95644799"/>
      <w:bookmarkStart w:id="20" w:name="_Toc96923009"/>
      <w:bookmarkStart w:id="21" w:name="_Toc102725874"/>
      <w:bookmarkStart w:id="22" w:name="_Toc199739630"/>
      <w:bookmarkStart w:id="23" w:name="_Toc199739672"/>
      <w:bookmarkStart w:id="24" w:name="_Toc199739714"/>
      <w:bookmarkStart w:id="25" w:name="_Toc199739756"/>
      <w:bookmarkStart w:id="26" w:name="_Toc199815980"/>
      <w:r>
        <w:rPr>
          <w:rStyle w:val="CharPartNo"/>
        </w:rPr>
        <w:t>Part II</w:t>
      </w:r>
      <w:r>
        <w:rPr>
          <w:rStyle w:val="CharDivNo"/>
        </w:rPr>
        <w:t> </w:t>
      </w:r>
      <w:r>
        <w:t>—</w:t>
      </w:r>
      <w:r>
        <w:rPr>
          <w:rStyle w:val="CharDivText"/>
        </w:rPr>
        <w:t> </w:t>
      </w:r>
      <w:r>
        <w:rPr>
          <w:rStyle w:val="CharPartText"/>
        </w:rPr>
        <w:t>Ratification of Agreement and supplementary agreements</w:t>
      </w:r>
      <w:bookmarkEnd w:id="19"/>
      <w:bookmarkEnd w:id="20"/>
      <w:bookmarkEnd w:id="21"/>
      <w:bookmarkEnd w:id="22"/>
      <w:bookmarkEnd w:id="23"/>
      <w:bookmarkEnd w:id="24"/>
      <w:bookmarkEnd w:id="25"/>
      <w:bookmarkEnd w:id="26"/>
      <w:r>
        <w:rPr>
          <w:rStyle w:val="CharPartText"/>
        </w:rPr>
        <w:t xml:space="preserve"> </w:t>
      </w:r>
    </w:p>
    <w:p>
      <w:pPr>
        <w:pStyle w:val="Footnoteheading"/>
        <w:ind w:left="890"/>
      </w:pPr>
      <w:r>
        <w:tab/>
        <w:t>[Heading amended by No. 39 of 2001 s. 5.]</w:t>
      </w:r>
    </w:p>
    <w:p>
      <w:pPr>
        <w:pStyle w:val="Heading5"/>
        <w:rPr>
          <w:snapToGrid w:val="0"/>
        </w:rPr>
      </w:pPr>
      <w:bookmarkStart w:id="27" w:name="_Toc589959"/>
      <w:bookmarkStart w:id="28" w:name="_Toc590026"/>
      <w:bookmarkStart w:id="29" w:name="_Toc6212718"/>
      <w:bookmarkStart w:id="30" w:name="_Toc199739715"/>
      <w:bookmarkStart w:id="31" w:name="_Toc199815981"/>
      <w:r>
        <w:rPr>
          <w:rStyle w:val="CharSectno"/>
        </w:rPr>
        <w:t>3</w:t>
      </w:r>
      <w:r>
        <w:rPr>
          <w:snapToGrid w:val="0"/>
        </w:rPr>
        <w:t>.</w:t>
      </w:r>
      <w:r>
        <w:rPr>
          <w:snapToGrid w:val="0"/>
        </w:rPr>
        <w:tab/>
        <w:t>Agreement ratified and implementation authorised</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32" w:name="_Toc589960"/>
      <w:bookmarkStart w:id="33" w:name="_Toc590027"/>
      <w:bookmarkStart w:id="34" w:name="_Toc6212719"/>
      <w:bookmarkStart w:id="35" w:name="_Toc199739716"/>
      <w:bookmarkStart w:id="36" w:name="_Toc199815982"/>
      <w:r>
        <w:rPr>
          <w:rStyle w:val="CharSectno"/>
        </w:rPr>
        <w:t>3A</w:t>
      </w:r>
      <w:r>
        <w:t>.</w:t>
      </w:r>
      <w:r>
        <w:tab/>
        <w:t>First supplementary agreement</w:t>
      </w:r>
      <w:bookmarkEnd w:id="32"/>
      <w:bookmarkEnd w:id="33"/>
      <w:bookmarkEnd w:id="34"/>
      <w:bookmarkEnd w:id="35"/>
      <w:bookmarkEnd w:id="36"/>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37" w:name="_Toc589961"/>
      <w:bookmarkStart w:id="38" w:name="_Toc590028"/>
      <w:bookmarkStart w:id="39" w:name="_Toc6212720"/>
      <w:bookmarkStart w:id="40" w:name="_Toc199739717"/>
      <w:bookmarkStart w:id="41" w:name="_Toc199815983"/>
      <w:r>
        <w:rPr>
          <w:rStyle w:val="CharSectno"/>
        </w:rPr>
        <w:t>3B</w:t>
      </w:r>
      <w:r>
        <w:t>.</w:t>
      </w:r>
      <w:r>
        <w:tab/>
        <w:t>Second supplementary agreement</w:t>
      </w:r>
      <w:bookmarkEnd w:id="37"/>
      <w:bookmarkEnd w:id="38"/>
      <w:bookmarkEnd w:id="39"/>
      <w:bookmarkEnd w:id="40"/>
      <w:bookmarkEnd w:id="41"/>
    </w:p>
    <w:p>
      <w:pPr>
        <w:pStyle w:val="Subsection"/>
      </w:pPr>
      <w:r>
        <w:tab/>
      </w:r>
      <w:r>
        <w:tab/>
        <w:t>The second supplementary agreement is approved and ratified.</w:t>
      </w:r>
    </w:p>
    <w:p>
      <w:pPr>
        <w:pStyle w:val="Footnotesection"/>
      </w:pPr>
      <w:r>
        <w:tab/>
        <w:t>[Section 3B inserted by No. 39 of 2001 s. 6.]</w:t>
      </w:r>
    </w:p>
    <w:p>
      <w:pPr>
        <w:pStyle w:val="Heading5"/>
        <w:rPr>
          <w:snapToGrid w:val="0"/>
        </w:rPr>
      </w:pPr>
      <w:bookmarkStart w:id="42" w:name="_Toc589962"/>
      <w:bookmarkStart w:id="43" w:name="_Toc590029"/>
      <w:bookmarkStart w:id="44" w:name="_Toc6212721"/>
      <w:bookmarkStart w:id="45" w:name="_Toc199739718"/>
      <w:bookmarkStart w:id="46" w:name="_Toc199815984"/>
      <w:r>
        <w:rPr>
          <w:rStyle w:val="CharSectno"/>
        </w:rPr>
        <w:t>4</w:t>
      </w:r>
      <w:r>
        <w:rPr>
          <w:snapToGrid w:val="0"/>
        </w:rPr>
        <w:t>.</w:t>
      </w:r>
      <w:r>
        <w:rPr>
          <w:snapToGrid w:val="0"/>
        </w:rPr>
        <w:tab/>
        <w:t>By</w:t>
      </w:r>
      <w:r>
        <w:rPr>
          <w:snapToGrid w:val="0"/>
        </w:rPr>
        <w:noBreakHyphen/>
        <w:t>laws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47" w:name="_Toc589963"/>
      <w:bookmarkStart w:id="48" w:name="_Toc590030"/>
      <w:bookmarkStart w:id="49" w:name="_Toc6212722"/>
      <w:bookmarkStart w:id="50" w:name="_Toc199739719"/>
      <w:bookmarkStart w:id="51" w:name="_Toc199815985"/>
      <w:r>
        <w:rPr>
          <w:rStyle w:val="CharSectno"/>
        </w:rPr>
        <w:t>5</w:t>
      </w:r>
      <w:r>
        <w:rPr>
          <w:snapToGrid w:val="0"/>
        </w:rPr>
        <w:t>.</w:t>
      </w:r>
      <w:r>
        <w:rPr>
          <w:snapToGrid w:val="0"/>
        </w:rPr>
        <w:tab/>
      </w:r>
      <w:r>
        <w:rPr>
          <w:i/>
          <w:snapToGrid w:val="0"/>
        </w:rPr>
        <w:t>Money Lenders Act 1912</w:t>
      </w:r>
      <w:r>
        <w:rPr>
          <w:snapToGrid w:val="0"/>
        </w:rPr>
        <w:t xml:space="preserve"> not to apply</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loan</w:t>
      </w:r>
      <w:r>
        <w:rPr>
          <w:b/>
        </w:rPr>
        <w:t>”</w:t>
      </w:r>
      <w:r>
        <w:t xml:space="preserve"> has the meaning given to that expression by section 2 of the </w:t>
      </w:r>
      <w:r>
        <w:rPr>
          <w:i/>
        </w:rPr>
        <w:t>Money Lenders Act 1912 </w:t>
      </w:r>
      <w:r>
        <w:rPr>
          <w:vertAlign w:val="superscript"/>
        </w:rPr>
        <w:t>3</w:t>
      </w:r>
      <w:r>
        <w:t>;</w:t>
      </w:r>
    </w:p>
    <w:p>
      <w:pPr>
        <w:pStyle w:val="Defstart"/>
      </w:pPr>
      <w:r>
        <w:rPr>
          <w:b/>
        </w:rPr>
        <w:tab/>
        <w:t>“</w:t>
      </w:r>
      <w:r>
        <w:rPr>
          <w:rStyle w:val="CharDefText"/>
        </w:rPr>
        <w:t>party to the Agreement</w:t>
      </w:r>
      <w:r>
        <w:rPr>
          <w:b/>
        </w:rPr>
        <w: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52" w:name="_Toc95644805"/>
      <w:bookmarkStart w:id="53" w:name="_Toc96923015"/>
      <w:bookmarkStart w:id="54" w:name="_Toc102725880"/>
      <w:bookmarkStart w:id="55" w:name="_Toc199739636"/>
      <w:bookmarkStart w:id="56" w:name="_Toc199739678"/>
      <w:bookmarkStart w:id="57" w:name="_Toc199739720"/>
      <w:bookmarkStart w:id="58" w:name="_Toc199739762"/>
      <w:bookmarkStart w:id="59" w:name="_Toc199815986"/>
      <w:r>
        <w:rPr>
          <w:rStyle w:val="CharPartNo"/>
        </w:rPr>
        <w:t>Part III</w:t>
      </w:r>
      <w:r>
        <w:rPr>
          <w:rStyle w:val="CharDivNo"/>
        </w:rPr>
        <w:t> </w:t>
      </w:r>
      <w:r>
        <w:t>—</w:t>
      </w:r>
      <w:r>
        <w:rPr>
          <w:rStyle w:val="CharDivText"/>
        </w:rPr>
        <w:t> </w:t>
      </w:r>
      <w:r>
        <w:rPr>
          <w:rStyle w:val="CharPartText"/>
        </w:rPr>
        <w:t>Mining tenements and rights as to minerals</w:t>
      </w:r>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589964"/>
      <w:bookmarkStart w:id="61" w:name="_Toc590031"/>
      <w:bookmarkStart w:id="62" w:name="_Toc6212723"/>
      <w:bookmarkStart w:id="63" w:name="_Toc199739721"/>
      <w:bookmarkStart w:id="64" w:name="_Toc199815987"/>
      <w:r>
        <w:rPr>
          <w:rStyle w:val="CharSectno"/>
        </w:rPr>
        <w:t>6</w:t>
      </w:r>
      <w:r>
        <w:rPr>
          <w:snapToGrid w:val="0"/>
        </w:rPr>
        <w:t>.</w:t>
      </w:r>
      <w:r>
        <w:rPr>
          <w:snapToGrid w:val="0"/>
        </w:rPr>
        <w:tab/>
        <w:t>Interpretation and application of this Part</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court</w:t>
      </w:r>
      <w:r>
        <w:rPr>
          <w:b/>
        </w:rPr>
        <w: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t>“</w:t>
      </w:r>
      <w:r>
        <w:rPr>
          <w:rStyle w:val="CharDefText"/>
        </w:rPr>
        <w:t>marking out</w:t>
      </w:r>
      <w:r>
        <w:rPr>
          <w:b/>
        </w:rPr>
        <w:t>”</w:t>
      </w:r>
      <w:r>
        <w:t xml:space="preserve"> includes marking off;</w:t>
      </w:r>
    </w:p>
    <w:p>
      <w:pPr>
        <w:pStyle w:val="Defstart"/>
      </w:pPr>
      <w:r>
        <w:rPr>
          <w:b/>
        </w:rPr>
        <w:tab/>
        <w:t>“</w:t>
      </w:r>
      <w:r>
        <w:rPr>
          <w:rStyle w:val="CharDefText"/>
        </w:rPr>
        <w:t>Minister</w:t>
      </w:r>
      <w:r>
        <w:rPr>
          <w:b/>
        </w:rPr>
        <w:t>”</w:t>
      </w:r>
      <w:r>
        <w:t xml:space="preserve"> and </w:t>
      </w:r>
      <w:r>
        <w:rPr>
          <w:b/>
        </w:rPr>
        <w:t>“</w:t>
      </w:r>
      <w:r>
        <w:rPr>
          <w:rStyle w:val="CharDefText"/>
        </w:rPr>
        <w:t>warden</w:t>
      </w:r>
      <w:r>
        <w:rPr>
          <w:b/>
        </w:rPr>
        <w:t>”</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t>“</w:t>
      </w:r>
      <w:r>
        <w:rPr>
          <w:rStyle w:val="CharDefText"/>
        </w:rPr>
        <w:t>temporary reserve</w:t>
      </w:r>
      <w:r>
        <w:rPr>
          <w:b/>
        </w:rPr>
        <w:t>”</w:t>
      </w:r>
      <w:r>
        <w:t xml:space="preserve"> means a reserve created under section 276 of the </w:t>
      </w:r>
      <w:r>
        <w:rPr>
          <w:i/>
        </w:rPr>
        <w:t>Mining Act 1904 </w:t>
      </w:r>
      <w:r>
        <w:rPr>
          <w:vertAlign w:val="superscript"/>
        </w:rPr>
        <w:t>4</w:t>
      </w:r>
      <w:r>
        <w:t>;</w:t>
      </w:r>
    </w:p>
    <w:p>
      <w:pPr>
        <w:pStyle w:val="Defstart"/>
      </w:pPr>
      <w:r>
        <w:rPr>
          <w:b/>
        </w:rPr>
        <w:tab/>
        <w:t>“</w:t>
      </w:r>
      <w:r>
        <w:rPr>
          <w:rStyle w:val="CharDefText"/>
        </w:rPr>
        <w:t>termination date</w:t>
      </w:r>
      <w:r>
        <w:rPr>
          <w:b/>
        </w:rPr>
        <w:t>”</w:t>
      </w:r>
      <w:r>
        <w:t xml:space="preserve"> means the date of the cessation or determination of the Agreement in accordance with the terms thereof or of the determination of the Agreement by agreement between the parties thereto;</w:t>
      </w:r>
    </w:p>
    <w:p>
      <w:pPr>
        <w:pStyle w:val="Defstart"/>
      </w:pPr>
      <w:r>
        <w:rPr>
          <w:b/>
        </w:rPr>
        <w:tab/>
        <w:t>“</w:t>
      </w:r>
      <w:r>
        <w:rPr>
          <w:rStyle w:val="CharDefText"/>
        </w:rPr>
        <w:t>the Department</w:t>
      </w:r>
      <w:r>
        <w:rPr>
          <w:b/>
        </w:rPr>
        <w:t>”</w:t>
      </w:r>
      <w:r>
        <w:t xml:space="preserve"> means the Department of Mines</w:t>
      </w:r>
      <w:r>
        <w:rPr>
          <w:vertAlign w:val="superscript"/>
        </w:rPr>
        <w:t xml:space="preserve"> 5</w:t>
      </w:r>
      <w:r>
        <w:t xml:space="preserve"> of the Public Service of the State;</w:t>
      </w:r>
    </w:p>
    <w:p>
      <w:pPr>
        <w:pStyle w:val="Defstart"/>
      </w:pPr>
      <w:r>
        <w:rPr>
          <w:b/>
        </w:rPr>
        <w:tab/>
        <w:t>“</w:t>
      </w:r>
      <w:r>
        <w:rPr>
          <w:rStyle w:val="CharDefText"/>
        </w:rPr>
        <w:t xml:space="preserve">the </w:t>
      </w:r>
      <w:r>
        <w:rPr>
          <w:rStyle w:val="CharDefText"/>
          <w:i/>
        </w:rPr>
        <w:t>Mining Act 1904</w:t>
      </w:r>
      <w:r>
        <w:rPr>
          <w:b/>
        </w:rPr>
        <w:t>”</w:t>
      </w:r>
      <w:r>
        <w:t xml:space="preserve"> includes the regulations made thereunder;</w:t>
      </w:r>
    </w:p>
    <w:p>
      <w:pPr>
        <w:pStyle w:val="Defstart"/>
      </w:pPr>
      <w:r>
        <w:rPr>
          <w:b/>
        </w:rPr>
        <w:tab/>
        <w:t>“</w:t>
      </w:r>
      <w:r>
        <w:rPr>
          <w:rStyle w:val="CharDefText"/>
        </w:rPr>
        <w:t xml:space="preserve">the </w:t>
      </w:r>
      <w:r>
        <w:rPr>
          <w:rStyle w:val="CharDefText"/>
          <w:i/>
        </w:rPr>
        <w:t>Mining Act 1978</w:t>
      </w:r>
      <w:r>
        <w:rPr>
          <w:b/>
        </w:rPr>
        <w:t>”</w:t>
      </w:r>
      <w:r>
        <w:t xml:space="preserve"> includes the regulations made thereunder;</w:t>
      </w:r>
    </w:p>
    <w:p>
      <w:pPr>
        <w:pStyle w:val="Defstart"/>
      </w:pPr>
      <w:r>
        <w:rPr>
          <w:b/>
        </w:rPr>
        <w:tab/>
        <w:t>“</w:t>
      </w:r>
      <w:r>
        <w:rPr>
          <w:rStyle w:val="CharDefText"/>
        </w:rPr>
        <w:t>the subject land</w:t>
      </w:r>
      <w:r>
        <w:rPr>
          <w:b/>
        </w:rPr>
        <w:t>”</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t>“</w:t>
      </w:r>
      <w:r>
        <w:rPr>
          <w:rStyle w:val="CharDefText"/>
        </w:rPr>
        <w:t>the temporarily reserved land</w:t>
      </w:r>
      <w:r>
        <w:rPr>
          <w:b/>
        </w:rPr>
        <w:t>”</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65" w:name="_Toc589965"/>
      <w:bookmarkStart w:id="66" w:name="_Toc590032"/>
      <w:bookmarkStart w:id="67" w:name="_Toc6212724"/>
      <w:bookmarkStart w:id="68" w:name="_Toc199739722"/>
      <w:bookmarkStart w:id="69" w:name="_Toc199815988"/>
      <w:r>
        <w:rPr>
          <w:rStyle w:val="CharSectno"/>
        </w:rPr>
        <w:t>7</w:t>
      </w:r>
      <w:r>
        <w:rPr>
          <w:snapToGrid w:val="0"/>
        </w:rPr>
        <w:t>.</w:t>
      </w:r>
      <w:r>
        <w:rPr>
          <w:snapToGrid w:val="0"/>
        </w:rPr>
        <w:tab/>
        <w:t>Registration and validity of certain mineral claims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70" w:name="_Toc589966"/>
      <w:bookmarkStart w:id="71" w:name="_Toc590033"/>
      <w:bookmarkStart w:id="72" w:name="_Toc6212725"/>
      <w:bookmarkStart w:id="73" w:name="_Toc199739723"/>
      <w:bookmarkStart w:id="74" w:name="_Toc199815989"/>
      <w:r>
        <w:rPr>
          <w:rStyle w:val="CharSectno"/>
        </w:rPr>
        <w:t>8</w:t>
      </w:r>
      <w:r>
        <w:rPr>
          <w:snapToGrid w:val="0"/>
        </w:rPr>
        <w:t>.</w:t>
      </w:r>
      <w:r>
        <w:rPr>
          <w:snapToGrid w:val="0"/>
        </w:rPr>
        <w:tab/>
        <w:t>Protection of certain rights and interests of Company</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75" w:name="_Toc589967"/>
      <w:bookmarkStart w:id="76" w:name="_Toc590034"/>
      <w:bookmarkStart w:id="77" w:name="_Toc6212726"/>
      <w:bookmarkStart w:id="78" w:name="_Toc199739724"/>
      <w:bookmarkStart w:id="79" w:name="_Toc199815990"/>
      <w:r>
        <w:rPr>
          <w:rStyle w:val="CharSectno"/>
        </w:rPr>
        <w:t>9</w:t>
      </w:r>
      <w:r>
        <w:rPr>
          <w:snapToGrid w:val="0"/>
        </w:rPr>
        <w:t>.</w:t>
      </w:r>
      <w:r>
        <w:rPr>
          <w:snapToGrid w:val="0"/>
        </w:rPr>
        <w:tab/>
        <w:t>Termination of other rights and interests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b/>
          <w:snapToGrid w:val="0"/>
        </w:rPr>
        <w:t>“</w:t>
      </w:r>
      <w:r>
        <w:rPr>
          <w:rStyle w:val="CharDefText"/>
        </w:rPr>
        <w:t>relevant date</w:t>
      </w:r>
      <w:r>
        <w:rPr>
          <w:b/>
          <w:snapToGrid w:val="0"/>
        </w:rPr>
        <w:t>”</w:t>
      </w:r>
      <w:r>
        <w:rPr>
          <w:snapToGrid w:val="0"/>
        </w:rPr>
        <w:t xml:space="preserve"> means the termination date unless the portion of land in question is surrendered to the State under clause 15(5) of the Agreement in which case </w:t>
      </w:r>
      <w:r>
        <w:rPr>
          <w:b/>
          <w:snapToGrid w:val="0"/>
        </w:rPr>
        <w:t>“</w:t>
      </w:r>
      <w:r>
        <w:rPr>
          <w:rStyle w:val="CharDefText"/>
        </w:rPr>
        <w:t>relevant date</w:t>
      </w:r>
      <w:r>
        <w:rPr>
          <w:b/>
          <w:snapToGrid w:val="0"/>
        </w:rPr>
        <w:t>”</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b/>
          <w:snapToGrid w:val="0"/>
        </w:rPr>
        <w:t>“</w:t>
      </w:r>
      <w:r>
        <w:rPr>
          <w:rStyle w:val="CharDefText"/>
        </w:rPr>
        <w:t>relevant date</w:t>
      </w:r>
      <w:r>
        <w:rPr>
          <w:b/>
          <w:snapToGrid w:val="0"/>
        </w:rPr>
        <w:t>”</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80" w:name="_Toc589968"/>
      <w:bookmarkStart w:id="81" w:name="_Toc590035"/>
      <w:bookmarkStart w:id="82" w:name="_Toc6212727"/>
      <w:bookmarkStart w:id="83" w:name="_Toc199739725"/>
      <w:bookmarkStart w:id="84" w:name="_Toc199815991"/>
      <w:r>
        <w:rPr>
          <w:rStyle w:val="CharSectno"/>
        </w:rPr>
        <w:t>10</w:t>
      </w:r>
      <w:r>
        <w:rPr>
          <w:snapToGrid w:val="0"/>
        </w:rPr>
        <w:t>.</w:t>
      </w:r>
      <w:r>
        <w:rPr>
          <w:snapToGrid w:val="0"/>
        </w:rPr>
        <w:tab/>
        <w:t>Effect of marking out of certain land</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b/>
          <w:snapToGrid w:val="0"/>
        </w:rPr>
        <w:t>“</w:t>
      </w:r>
      <w:r>
        <w:rPr>
          <w:rStyle w:val="CharDefText"/>
        </w:rPr>
        <w:t>relevant date</w:t>
      </w:r>
      <w:r>
        <w:rPr>
          <w:b/>
          <w:snapToGrid w:val="0"/>
        </w:rPr>
        <w:t>”</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b/>
          <w:snapToGrid w:val="0"/>
        </w:rPr>
        <w:t>“</w:t>
      </w:r>
      <w:r>
        <w:rPr>
          <w:rStyle w:val="CharDefText"/>
        </w:rPr>
        <w:t>relevant date</w:t>
      </w:r>
      <w:r>
        <w:rPr>
          <w:b/>
          <w:snapToGrid w:val="0"/>
        </w:rPr>
        <w:t>”</w:t>
      </w:r>
      <w:r>
        <w:rPr>
          <w:snapToGrid w:val="0"/>
        </w:rPr>
        <w:t xml:space="preserve"> has the same meaning as it has in section 9(5).</w:t>
      </w:r>
    </w:p>
    <w:p>
      <w:pPr>
        <w:pStyle w:val="Heading5"/>
        <w:rPr>
          <w:snapToGrid w:val="0"/>
        </w:rPr>
      </w:pPr>
      <w:bookmarkStart w:id="85" w:name="_Toc589969"/>
      <w:bookmarkStart w:id="86" w:name="_Toc590036"/>
      <w:bookmarkStart w:id="87" w:name="_Toc6212728"/>
      <w:bookmarkStart w:id="88" w:name="_Toc199739726"/>
      <w:bookmarkStart w:id="89" w:name="_Toc199815992"/>
      <w:r>
        <w:rPr>
          <w:rStyle w:val="CharSectno"/>
        </w:rPr>
        <w:t>11</w:t>
      </w:r>
      <w:r>
        <w:rPr>
          <w:snapToGrid w:val="0"/>
        </w:rPr>
        <w:t>.</w:t>
      </w:r>
      <w:r>
        <w:rPr>
          <w:snapToGrid w:val="0"/>
        </w:rPr>
        <w:tab/>
        <w:t>Saving of applications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pending application</w:t>
      </w:r>
      <w:r>
        <w:rPr>
          <w:b/>
          <w:snapToGrid w:val="0"/>
        </w:rPr>
        <w:t>”</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90" w:name="_Toc589970"/>
      <w:bookmarkStart w:id="91" w:name="_Toc590037"/>
      <w:bookmarkStart w:id="92" w:name="_Toc6212729"/>
      <w:bookmarkStart w:id="93" w:name="_Toc199739727"/>
      <w:bookmarkStart w:id="94" w:name="_Toc199815993"/>
      <w:r>
        <w:rPr>
          <w:rStyle w:val="CharSectno"/>
        </w:rPr>
        <w:t>12</w:t>
      </w:r>
      <w:r>
        <w:rPr>
          <w:snapToGrid w:val="0"/>
        </w:rPr>
        <w:t>.</w:t>
      </w:r>
      <w:r>
        <w:rPr>
          <w:snapToGrid w:val="0"/>
        </w:rPr>
        <w:tab/>
        <w:t>Validity of mining lease under Agreement</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95" w:name="_Toc589971"/>
      <w:bookmarkStart w:id="96" w:name="_Toc590038"/>
      <w:bookmarkStart w:id="97" w:name="_Toc6212730"/>
      <w:bookmarkStart w:id="98" w:name="_Toc199739728"/>
      <w:bookmarkStart w:id="99" w:name="_Toc199815994"/>
      <w:r>
        <w:rPr>
          <w:rStyle w:val="CharSectno"/>
        </w:rPr>
        <w:t>13</w:t>
      </w:r>
      <w:r>
        <w:rPr>
          <w:snapToGrid w:val="0"/>
        </w:rPr>
        <w:t>.</w:t>
      </w:r>
      <w:r>
        <w:rPr>
          <w:snapToGrid w:val="0"/>
        </w:rPr>
        <w:tab/>
        <w:t>Continuation of mining tenements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00" w:name="_Toc95644814"/>
      <w:bookmarkStart w:id="101" w:name="_Toc96923024"/>
      <w:bookmarkStart w:id="102" w:name="_Toc102725889"/>
      <w:bookmarkStart w:id="103" w:name="_Toc199739645"/>
      <w:bookmarkStart w:id="104" w:name="_Toc199739687"/>
      <w:bookmarkStart w:id="105" w:name="_Toc199739729"/>
      <w:bookmarkStart w:id="106" w:name="_Toc199739771"/>
      <w:bookmarkStart w:id="107" w:name="_Toc199815995"/>
      <w:r>
        <w:rPr>
          <w:rStyle w:val="CharPartNo"/>
        </w:rPr>
        <w:t>Part IV</w:t>
      </w:r>
      <w:r>
        <w:rPr>
          <w:rStyle w:val="CharDivNo"/>
        </w:rPr>
        <w:t> </w:t>
      </w:r>
      <w:r>
        <w:t>—</w:t>
      </w:r>
      <w:r>
        <w:rPr>
          <w:rStyle w:val="CharDivText"/>
        </w:rPr>
        <w:t> </w:t>
      </w:r>
      <w:r>
        <w:rPr>
          <w:rStyle w:val="CharPartText"/>
        </w:rPr>
        <w:t>Security of diamond mining and processing areas</w:t>
      </w:r>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589972"/>
      <w:bookmarkStart w:id="109" w:name="_Toc590039"/>
      <w:bookmarkStart w:id="110" w:name="_Toc6212731"/>
      <w:bookmarkStart w:id="111" w:name="_Toc199739730"/>
      <w:bookmarkStart w:id="112" w:name="_Toc199815996"/>
      <w:r>
        <w:rPr>
          <w:rStyle w:val="CharSectno"/>
        </w:rPr>
        <w:t>14</w:t>
      </w:r>
      <w:r>
        <w:rPr>
          <w:snapToGrid w:val="0"/>
        </w:rPr>
        <w:t>.</w:t>
      </w:r>
      <w:r>
        <w:rPr>
          <w:snapToGrid w:val="0"/>
        </w:rPr>
        <w:tab/>
        <w:t>Interpretation of this Part</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t>“</w:t>
      </w:r>
      <w:r>
        <w:rPr>
          <w:rStyle w:val="CharDefText"/>
        </w:rPr>
        <w:t>controlled access point</w:t>
      </w:r>
      <w:r>
        <w:rPr>
          <w:b/>
        </w:rPr>
        <w: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t>“</w:t>
      </w:r>
      <w:r>
        <w:rPr>
          <w:rStyle w:val="CharDefText"/>
        </w:rPr>
        <w:t>designated area</w:t>
      </w:r>
      <w:r>
        <w:rPr>
          <w:b/>
        </w:rPr>
        <w:t>”</w:t>
      </w:r>
      <w:r>
        <w:t xml:space="preserve"> means land that is, or premises that are, for the time being declared to be a designated area pursuant to section 15;</w:t>
      </w:r>
    </w:p>
    <w:p>
      <w:pPr>
        <w:pStyle w:val="Defstart"/>
      </w:pPr>
      <w:r>
        <w:rPr>
          <w:b/>
        </w:rPr>
        <w:tab/>
        <w:t>“</w:t>
      </w:r>
      <w:r>
        <w:rPr>
          <w:rStyle w:val="CharDefText"/>
        </w:rPr>
        <w:t>medical practitioner</w:t>
      </w:r>
      <w:r>
        <w:rPr>
          <w:b/>
        </w:rPr>
        <w:t>”</w:t>
      </w:r>
      <w:r>
        <w:t xml:space="preserve"> means a person registered under the </w:t>
      </w:r>
      <w:r>
        <w:rPr>
          <w:i/>
        </w:rPr>
        <w:t>Medical Act 1894</w:t>
      </w:r>
      <w:r>
        <w:t>;</w:t>
      </w:r>
    </w:p>
    <w:p>
      <w:pPr>
        <w:pStyle w:val="Defstart"/>
      </w:pPr>
      <w:r>
        <w:rPr>
          <w:b/>
        </w:rPr>
        <w:tab/>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rPr>
          <w:b/>
        </w:rPr>
        <w:tab/>
        <w:t>“</w:t>
      </w:r>
      <w:r>
        <w:rPr>
          <w:rStyle w:val="CharDefText"/>
        </w:rPr>
        <w:t>premises</w:t>
      </w:r>
      <w:r>
        <w:rPr>
          <w:b/>
        </w:rPr>
        <w:t>”</w:t>
      </w:r>
      <w:r>
        <w:t xml:space="preserve"> means any building or structure or part of a building or structure, and includes any area surrounding such building or structure or part of a building or structure;</w:t>
      </w:r>
    </w:p>
    <w:p>
      <w:pPr>
        <w:pStyle w:val="Defstart"/>
      </w:pPr>
      <w:r>
        <w:rPr>
          <w:b/>
        </w:rPr>
        <w:tab/>
        <w:t>“</w:t>
      </w:r>
      <w:r>
        <w:rPr>
          <w:rStyle w:val="CharDefText"/>
        </w:rPr>
        <w:t>property</w:t>
      </w:r>
      <w:r>
        <w:rPr>
          <w:b/>
        </w:rPr>
        <w:t>”</w:t>
      </w:r>
      <w:r>
        <w:t xml:space="preserve"> includes goods or articles of any kind;</w:t>
      </w:r>
    </w:p>
    <w:p>
      <w:pPr>
        <w:pStyle w:val="Defstart"/>
      </w:pPr>
      <w:r>
        <w:rPr>
          <w:b/>
        </w:rPr>
        <w:tab/>
        <w:t>“</w:t>
      </w:r>
      <w:r>
        <w:rPr>
          <w:rStyle w:val="CharDefText"/>
        </w:rPr>
        <w:t>security officer</w:t>
      </w:r>
      <w:r>
        <w:rPr>
          <w:b/>
        </w:rPr>
        <w:t>”</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t>“</w:t>
      </w:r>
      <w:r>
        <w:rPr>
          <w:rStyle w:val="CharDefText"/>
        </w:rPr>
        <w:t>the Owners</w:t>
      </w:r>
      <w:r>
        <w:rPr>
          <w:b/>
        </w:rPr>
        <w:t>”</w:t>
      </w:r>
      <w:r>
        <w:t xml:space="preserve"> means the Joint Venturers and each of them and any company formed by the Joint Venturers, or any of them, to manage operations conducted pursuant to the Agreement;</w:t>
      </w:r>
    </w:p>
    <w:p>
      <w:pPr>
        <w:pStyle w:val="Defstart"/>
      </w:pPr>
      <w:r>
        <w:rPr>
          <w:b/>
        </w:rPr>
        <w:tab/>
        <w:t>“</w:t>
      </w:r>
      <w:r>
        <w:rPr>
          <w:rStyle w:val="CharDefText"/>
        </w:rPr>
        <w:t>this Part</w:t>
      </w:r>
      <w:r>
        <w:rPr>
          <w:b/>
        </w:rPr>
        <w:t>”</w:t>
      </w:r>
      <w:r>
        <w:t xml:space="preserve"> includes the regulations made under this Part;</w:t>
      </w:r>
    </w:p>
    <w:p>
      <w:pPr>
        <w:pStyle w:val="Defstart"/>
      </w:pPr>
      <w:r>
        <w:rPr>
          <w:b/>
        </w:rPr>
        <w:tab/>
        <w:t>“</w:t>
      </w:r>
      <w:r>
        <w:rPr>
          <w:rStyle w:val="CharDefText"/>
        </w:rPr>
        <w:t>uncut diamond</w:t>
      </w:r>
      <w:r>
        <w:rPr>
          <w:b/>
        </w:rPr>
        <w:t>”</w:t>
      </w:r>
      <w:r>
        <w:t xml:space="preserve"> includes any crushed diamond, diamond dust, diamond fragment or partly cut or partly processed diamond;</w:t>
      </w:r>
    </w:p>
    <w:p>
      <w:pPr>
        <w:pStyle w:val="Defstart"/>
      </w:pPr>
      <w:r>
        <w:rPr>
          <w:b/>
        </w:rPr>
        <w:tab/>
        <w:t>“</w:t>
      </w:r>
      <w:r>
        <w:rPr>
          <w:rStyle w:val="CharDefText"/>
        </w:rPr>
        <w:t>vehicle</w:t>
      </w:r>
      <w:r>
        <w:rPr>
          <w:b/>
        </w:rPr>
        <w:t>”</w:t>
      </w:r>
      <w:r>
        <w:t xml:space="preserve"> has the same meaning as it has in and for the purposes of the </w:t>
      </w:r>
      <w:r>
        <w:rPr>
          <w:i/>
        </w:rPr>
        <w:t>Road Traffic Act 1974</w:t>
      </w:r>
      <w:r>
        <w:t>.</w:t>
      </w:r>
    </w:p>
    <w:p>
      <w:pPr>
        <w:pStyle w:val="Footnotesection"/>
      </w:pPr>
      <w:r>
        <w:tab/>
        <w:t>[Section 14 amended by No. 27 of 1996 s. 96.]</w:t>
      </w:r>
    </w:p>
    <w:p>
      <w:pPr>
        <w:pStyle w:val="Heading5"/>
        <w:rPr>
          <w:snapToGrid w:val="0"/>
        </w:rPr>
      </w:pPr>
      <w:bookmarkStart w:id="113" w:name="_Toc589973"/>
      <w:bookmarkStart w:id="114" w:name="_Toc590040"/>
      <w:bookmarkStart w:id="115" w:name="_Toc6212732"/>
      <w:bookmarkStart w:id="116" w:name="_Toc199739731"/>
      <w:bookmarkStart w:id="117" w:name="_Toc199815997"/>
      <w:r>
        <w:rPr>
          <w:rStyle w:val="CharSectno"/>
        </w:rPr>
        <w:t>15</w:t>
      </w:r>
      <w:r>
        <w:rPr>
          <w:snapToGrid w:val="0"/>
        </w:rPr>
        <w:t>.</w:t>
      </w:r>
      <w:r>
        <w:rPr>
          <w:snapToGrid w:val="0"/>
        </w:rPr>
        <w:tab/>
        <w:t>Designated areas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118" w:name="_Toc589974"/>
      <w:bookmarkStart w:id="119" w:name="_Toc590041"/>
      <w:bookmarkStart w:id="120" w:name="_Toc6212733"/>
      <w:bookmarkStart w:id="121" w:name="_Toc199739732"/>
      <w:bookmarkStart w:id="122" w:name="_Toc199815998"/>
      <w:r>
        <w:rPr>
          <w:rStyle w:val="CharSectno"/>
        </w:rPr>
        <w:t>16</w:t>
      </w:r>
      <w:r>
        <w:rPr>
          <w:snapToGrid w:val="0"/>
        </w:rPr>
        <w:t>.</w:t>
      </w:r>
      <w:r>
        <w:rPr>
          <w:snapToGrid w:val="0"/>
        </w:rPr>
        <w:tab/>
        <w:t>Unlawful possession of diamonds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23" w:name="_Toc589975"/>
      <w:bookmarkStart w:id="124" w:name="_Toc590042"/>
      <w:bookmarkStart w:id="125" w:name="_Toc6212734"/>
      <w:bookmarkStart w:id="126" w:name="_Toc199739733"/>
      <w:bookmarkStart w:id="127" w:name="_Toc199815999"/>
      <w:r>
        <w:rPr>
          <w:rStyle w:val="CharSectno"/>
        </w:rPr>
        <w:t>17</w:t>
      </w:r>
      <w:r>
        <w:rPr>
          <w:snapToGrid w:val="0"/>
        </w:rPr>
        <w:t>.</w:t>
      </w:r>
      <w:r>
        <w:rPr>
          <w:snapToGrid w:val="0"/>
        </w:rPr>
        <w:tab/>
        <w:t>Entry to and egress from designated area</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b/>
          <w:snapToGrid w:val="0"/>
        </w:rPr>
        <w:t>“</w:t>
      </w:r>
      <w:r>
        <w:rPr>
          <w:rStyle w:val="CharDefText"/>
        </w:rPr>
        <w:t>permission</w:t>
      </w:r>
      <w:r>
        <w:rPr>
          <w:b/>
          <w:snapToGrid w:val="0"/>
        </w:rPr>
        <w:t>”</w:t>
      </w:r>
      <w:r>
        <w:rPr>
          <w:snapToGrid w:val="0"/>
        </w:rPr>
        <w:t xml:space="preserve"> means permission under and for the purposes of subsection (3).</w:t>
      </w:r>
    </w:p>
    <w:p>
      <w:pPr>
        <w:pStyle w:val="Heading5"/>
        <w:rPr>
          <w:snapToGrid w:val="0"/>
        </w:rPr>
      </w:pPr>
      <w:bookmarkStart w:id="128" w:name="_Toc589976"/>
      <w:bookmarkStart w:id="129" w:name="_Toc590043"/>
      <w:bookmarkStart w:id="130" w:name="_Toc6212735"/>
      <w:bookmarkStart w:id="131" w:name="_Toc199739734"/>
      <w:bookmarkStart w:id="132" w:name="_Toc199816000"/>
      <w:r>
        <w:rPr>
          <w:rStyle w:val="CharSectno"/>
        </w:rPr>
        <w:t>18</w:t>
      </w:r>
      <w:r>
        <w:rPr>
          <w:snapToGrid w:val="0"/>
        </w:rPr>
        <w:t>.</w:t>
      </w:r>
      <w:r>
        <w:rPr>
          <w:snapToGrid w:val="0"/>
        </w:rPr>
        <w:tab/>
        <w:t>Security officer may give direction etc. to persons on designated area</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133" w:name="_Toc589977"/>
      <w:bookmarkStart w:id="134" w:name="_Toc590044"/>
      <w:bookmarkStart w:id="135" w:name="_Toc6212736"/>
      <w:bookmarkStart w:id="136" w:name="_Toc199739735"/>
      <w:bookmarkStart w:id="137" w:name="_Toc199816001"/>
      <w:r>
        <w:rPr>
          <w:rStyle w:val="CharSectno"/>
        </w:rPr>
        <w:t>19</w:t>
      </w:r>
      <w:r>
        <w:rPr>
          <w:snapToGrid w:val="0"/>
        </w:rPr>
        <w:t>.</w:t>
      </w:r>
      <w:r>
        <w:rPr>
          <w:snapToGrid w:val="0"/>
        </w:rPr>
        <w:tab/>
        <w:t>Removal of persons and things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138" w:name="_Toc589978"/>
      <w:bookmarkStart w:id="139" w:name="_Toc590045"/>
      <w:bookmarkStart w:id="140" w:name="_Toc6212737"/>
      <w:bookmarkStart w:id="141" w:name="_Toc199739736"/>
      <w:bookmarkStart w:id="142" w:name="_Toc199816002"/>
      <w:r>
        <w:rPr>
          <w:rStyle w:val="CharSectno"/>
        </w:rPr>
        <w:t>20</w:t>
      </w:r>
      <w:r>
        <w:rPr>
          <w:snapToGrid w:val="0"/>
        </w:rPr>
        <w:t>.</w:t>
      </w:r>
      <w:r>
        <w:rPr>
          <w:snapToGrid w:val="0"/>
        </w:rPr>
        <w:tab/>
        <w:t>Search of property</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b/>
          <w:snapToGrid w:val="0"/>
        </w:rPr>
        <w:t>“</w:t>
      </w:r>
      <w:r>
        <w:rPr>
          <w:rStyle w:val="CharDefText"/>
        </w:rPr>
        <w:t>property</w:t>
      </w:r>
      <w:r>
        <w:rPr>
          <w:b/>
          <w:snapToGrid w:val="0"/>
        </w:rPr>
        <w:t>”</w:t>
      </w:r>
      <w:r>
        <w:rPr>
          <w:snapToGrid w:val="0"/>
        </w:rPr>
        <w:t xml:space="preserve"> does not include clothing being worn by a person.</w:t>
      </w:r>
    </w:p>
    <w:p>
      <w:pPr>
        <w:pStyle w:val="Heading5"/>
        <w:rPr>
          <w:snapToGrid w:val="0"/>
        </w:rPr>
      </w:pPr>
      <w:bookmarkStart w:id="143" w:name="_Toc589979"/>
      <w:bookmarkStart w:id="144" w:name="_Toc590046"/>
      <w:bookmarkStart w:id="145" w:name="_Toc6212738"/>
      <w:bookmarkStart w:id="146" w:name="_Toc199739737"/>
      <w:bookmarkStart w:id="147" w:name="_Toc199816003"/>
      <w:r>
        <w:rPr>
          <w:rStyle w:val="CharSectno"/>
        </w:rPr>
        <w:t>21</w:t>
      </w:r>
      <w:r>
        <w:rPr>
          <w:snapToGrid w:val="0"/>
        </w:rPr>
        <w:t>.</w:t>
      </w:r>
      <w:r>
        <w:rPr>
          <w:snapToGrid w:val="0"/>
        </w:rPr>
        <w:tab/>
        <w:t>Detention and search of persons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48" w:name="_Toc589980"/>
      <w:bookmarkStart w:id="149" w:name="_Toc590047"/>
      <w:bookmarkStart w:id="150" w:name="_Toc6212739"/>
      <w:bookmarkStart w:id="151" w:name="_Toc199739738"/>
      <w:bookmarkStart w:id="152" w:name="_Toc199816004"/>
      <w:r>
        <w:rPr>
          <w:rStyle w:val="CharSectno"/>
        </w:rPr>
        <w:t>22</w:t>
      </w:r>
      <w:r>
        <w:rPr>
          <w:snapToGrid w:val="0"/>
        </w:rPr>
        <w:t>.</w:t>
      </w:r>
      <w:r>
        <w:rPr>
          <w:snapToGrid w:val="0"/>
        </w:rPr>
        <w:tab/>
        <w:t>Emergency action exempted</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153" w:name="_Toc589981"/>
      <w:bookmarkStart w:id="154" w:name="_Toc590048"/>
      <w:bookmarkStart w:id="155" w:name="_Toc6212740"/>
      <w:bookmarkStart w:id="156" w:name="_Toc199739739"/>
      <w:bookmarkStart w:id="157" w:name="_Toc199816005"/>
      <w:r>
        <w:rPr>
          <w:rStyle w:val="CharSectno"/>
        </w:rPr>
        <w:t>23</w:t>
      </w:r>
      <w:r>
        <w:rPr>
          <w:snapToGrid w:val="0"/>
        </w:rPr>
        <w:t>.</w:t>
      </w:r>
      <w:r>
        <w:rPr>
          <w:snapToGrid w:val="0"/>
        </w:rPr>
        <w:tab/>
        <w:t>Powers of police not affected</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158" w:name="_Toc589982"/>
      <w:bookmarkStart w:id="159" w:name="_Toc590049"/>
      <w:bookmarkStart w:id="160" w:name="_Toc6212741"/>
      <w:bookmarkStart w:id="161" w:name="_Toc199739740"/>
      <w:bookmarkStart w:id="162" w:name="_Toc199816006"/>
      <w:r>
        <w:rPr>
          <w:rStyle w:val="CharSectno"/>
        </w:rPr>
        <w:t>24</w:t>
      </w:r>
      <w:r>
        <w:rPr>
          <w:snapToGrid w:val="0"/>
        </w:rPr>
        <w:t>.</w:t>
      </w:r>
      <w:r>
        <w:rPr>
          <w:snapToGrid w:val="0"/>
        </w:rPr>
        <w:tab/>
        <w:t>Evidence</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163" w:name="_Toc589983"/>
      <w:bookmarkStart w:id="164" w:name="_Toc590050"/>
      <w:bookmarkStart w:id="165" w:name="_Toc6212742"/>
      <w:bookmarkStart w:id="166" w:name="_Toc199739741"/>
      <w:bookmarkStart w:id="167" w:name="_Toc199816007"/>
      <w:r>
        <w:rPr>
          <w:rStyle w:val="CharSectno"/>
        </w:rPr>
        <w:t>25</w:t>
      </w:r>
      <w:r>
        <w:rPr>
          <w:snapToGrid w:val="0"/>
        </w:rPr>
        <w:t>.</w:t>
      </w:r>
      <w:r>
        <w:rPr>
          <w:snapToGrid w:val="0"/>
        </w:rPr>
        <w:tab/>
        <w:t>Restitution of diamonds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168" w:name="_Toc589984"/>
      <w:bookmarkStart w:id="169" w:name="_Toc590051"/>
      <w:bookmarkStart w:id="170" w:name="_Toc6212743"/>
      <w:bookmarkStart w:id="171" w:name="_Toc199739742"/>
      <w:bookmarkStart w:id="172" w:name="_Toc199816008"/>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173" w:name="_Toc589985"/>
      <w:bookmarkStart w:id="174" w:name="_Toc590052"/>
      <w:bookmarkStart w:id="175" w:name="_Toc6212744"/>
      <w:bookmarkStart w:id="176" w:name="_Toc199739743"/>
      <w:bookmarkStart w:id="177" w:name="_Toc199816009"/>
      <w:r>
        <w:rPr>
          <w:rStyle w:val="CharSectno"/>
        </w:rPr>
        <w:t>27</w:t>
      </w:r>
      <w:r>
        <w:rPr>
          <w:snapToGrid w:val="0"/>
        </w:rPr>
        <w:t>.</w:t>
      </w:r>
      <w:r>
        <w:rPr>
          <w:snapToGrid w:val="0"/>
        </w:rPr>
        <w:tab/>
        <w:t>Offences under other Acts not excluded</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178" w:name="_Toc589986"/>
      <w:bookmarkStart w:id="179" w:name="_Toc590053"/>
      <w:bookmarkStart w:id="180" w:name="_Toc6212745"/>
      <w:bookmarkStart w:id="181" w:name="_Toc199739744"/>
      <w:bookmarkStart w:id="182" w:name="_Toc199816010"/>
      <w:r>
        <w:rPr>
          <w:rStyle w:val="CharSectno"/>
        </w:rPr>
        <w:t>28.</w:t>
      </w:r>
      <w:r>
        <w:rPr>
          <w:rStyle w:val="CharSectno"/>
        </w:rPr>
        <w:tab/>
        <w:t>Exercise of powers lawful</w:t>
      </w:r>
      <w:bookmarkEnd w:id="178"/>
      <w:bookmarkEnd w:id="179"/>
      <w:bookmarkEnd w:id="180"/>
      <w:bookmarkEnd w:id="181"/>
      <w:bookmarkEnd w:id="182"/>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183" w:name="_Toc589987"/>
      <w:bookmarkStart w:id="184" w:name="_Toc590054"/>
      <w:bookmarkStart w:id="185" w:name="_Toc6212746"/>
      <w:bookmarkStart w:id="186" w:name="_Toc199739745"/>
      <w:bookmarkStart w:id="187" w:name="_Toc199816011"/>
      <w:r>
        <w:rPr>
          <w:rStyle w:val="CharSectno"/>
        </w:rPr>
        <w:t>29</w:t>
      </w:r>
      <w:r>
        <w:rPr>
          <w:snapToGrid w:val="0"/>
        </w:rPr>
        <w:t>.</w:t>
      </w:r>
      <w:r>
        <w:rPr>
          <w:snapToGrid w:val="0"/>
        </w:rPr>
        <w:tab/>
        <w:t>Regulations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188" w:name="_Toc199739746"/>
      <w:bookmarkStart w:id="189" w:name="_Toc199739788"/>
      <w:bookmarkStart w:id="190" w:name="_Toc199816012"/>
      <w:r>
        <w:rPr>
          <w:rStyle w:val="CharSchNo"/>
        </w:rPr>
        <w:t>Schedule 1</w:t>
      </w:r>
      <w:bookmarkEnd w:id="188"/>
      <w:bookmarkEnd w:id="189"/>
      <w:bookmarkEnd w:id="190"/>
    </w:p>
    <w:p>
      <w:pPr>
        <w:pStyle w:val="yShoulderClause"/>
        <w:rPr>
          <w:snapToGrid w:val="0"/>
        </w:rPr>
      </w:pPr>
      <w:r>
        <w:rPr>
          <w:snapToGrid w:val="0"/>
        </w:rPr>
        <w:t>S. 7</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191" w:name="_Toc199739747"/>
      <w:bookmarkStart w:id="192" w:name="_Toc199739789"/>
      <w:bookmarkStart w:id="193" w:name="_Toc199816013"/>
      <w:r>
        <w:rPr>
          <w:rStyle w:val="CharSchNo"/>
        </w:rPr>
        <w:t>Schedule 2</w:t>
      </w:r>
      <w:bookmarkEnd w:id="191"/>
      <w:bookmarkEnd w:id="192"/>
      <w:bookmarkEnd w:id="193"/>
      <w:r>
        <w:rPr>
          <w:rStyle w:val="CharSchNo"/>
        </w:rPr>
        <w:t xml:space="preserve"> </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r>
        <w:rPr>
          <w:position w:val="-44"/>
        </w:rPr>
        <w:object w:dxaOrig="31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o:ole="" fillcolor="window">
            <v:imagedata r:id="rId26" o:title=""/>
          </v:shape>
          <o:OLEObject Type="Embed" ProgID="Equation.3" ShapeID="_x0000_i1025" DrawAspect="Content" ObjectID="_1643229795" r:id="rId27"/>
        </w:obje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194" w:name="_Toc199739748"/>
      <w:bookmarkStart w:id="195" w:name="_Toc199739790"/>
      <w:bookmarkStart w:id="196" w:name="_Toc199816014"/>
      <w:r>
        <w:rPr>
          <w:rStyle w:val="CharSchNo"/>
        </w:rPr>
        <w:t>Schedule 3</w:t>
      </w:r>
      <w:bookmarkEnd w:id="194"/>
      <w:bookmarkEnd w:id="195"/>
      <w:bookmarkEnd w:id="196"/>
      <w:r>
        <w:rPr>
          <w:rStyle w:val="CharSchNo"/>
        </w:rPr>
        <w:t xml:space="preserve"> </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r>
              <w:rPr>
                <w:noProof/>
                <w:lang w:eastAsia="en-AU"/>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r>
              <w:rPr>
                <w:noProof/>
                <w:lang w:eastAsia="en-AU"/>
              </w:rPr>
              <w:drawing>
                <wp:inline distT="0" distB="0" distL="0" distR="0">
                  <wp:extent cx="123825" cy="1552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r>
              <w:rPr>
                <w:noProof/>
                <w:lang w:eastAsia="en-AU"/>
              </w:rPr>
              <w:drawing>
                <wp:inline distT="0" distB="0" distL="0" distR="0">
                  <wp:extent cx="1524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[Schedule 3 inserted by No. 12 of 1983 s. 7.]</w:t>
      </w:r>
    </w:p>
    <w:p>
      <w:pPr>
        <w:pStyle w:val="yScheduleHeading"/>
      </w:pPr>
      <w:bookmarkStart w:id="197" w:name="_Toc199739749"/>
      <w:bookmarkStart w:id="198" w:name="_Toc199739791"/>
      <w:bookmarkStart w:id="199" w:name="_Toc199816015"/>
      <w:r>
        <w:rPr>
          <w:rStyle w:val="CharSchNo"/>
        </w:rPr>
        <w:t>Schedule 4</w:t>
      </w:r>
      <w:bookmarkEnd w:id="197"/>
      <w:bookmarkEnd w:id="198"/>
      <w:bookmarkEnd w:id="199"/>
      <w:r>
        <w:rPr>
          <w:rStyle w:val="CharSchNo"/>
        </w:rPr>
        <w:t xml:space="preserve"> </w:t>
      </w:r>
    </w:p>
    <w:p>
      <w:pPr>
        <w:pStyle w:val="yShoulderClause"/>
      </w:pPr>
      <w:r>
        <w:t>[s. 2]</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b/>
        </w:rPr>
        <w:t>“</w:t>
      </w:r>
      <w:r>
        <w:rPr>
          <w:rStyle w:val="CharDefText"/>
        </w:rPr>
        <w:t>the State</w:t>
      </w:r>
      <w:r>
        <w:rPr>
          <w:b/>
        </w:rPr>
        <w:t>”</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sz w:val="24"/>
        </w:rPr>
        <w:t>“</w:t>
      </w:r>
      <w:r>
        <w:rPr>
          <w:rStyle w:val="CharDefText"/>
        </w:rPr>
        <w:t>the Joint Venturers</w:t>
      </w:r>
      <w:r>
        <w:rPr>
          <w:rStyle w:val="CharDefText"/>
          <w:sz w:val="24"/>
        </w:rPr>
        <w:t>”</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b/>
        </w:rPr>
        <w:t>“</w:t>
      </w:r>
      <w:r>
        <w:rPr>
          <w:rStyle w:val="CharDefText"/>
        </w:rPr>
        <w:t>the Principal Agreement</w:t>
      </w:r>
      <w:r>
        <w:rPr>
          <w:b/>
        </w:rPr>
        <w:t>”</w:t>
      </w:r>
      <w:r>
        <w:t>;</w:t>
      </w:r>
    </w:p>
    <w:p>
      <w:pPr>
        <w:pStyle w:val="yMiscellaneousBody"/>
        <w:ind w:left="567" w:hanging="567"/>
      </w:pPr>
      <w:r>
        <w:t>(b)</w:t>
      </w:r>
      <w:r>
        <w:tab/>
        <w:t xml:space="preserve">pursuant to Clause 18 of the Principal Agreement Mining Lease No. 275SA (hereinafter called </w:t>
      </w:r>
      <w:r>
        <w:rPr>
          <w:b/>
        </w:rPr>
        <w:t>“</w:t>
      </w:r>
      <w:r>
        <w:rPr>
          <w:rStyle w:val="CharDefText"/>
        </w:rPr>
        <w:t>the Ellendale Mining Lease</w:t>
      </w:r>
      <w:r>
        <w:rPr>
          <w:b/>
        </w:rPr>
        <w:t>”</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 xml:space="preserve">In clauses 5 and 6 of this Agreement, </w:t>
      </w:r>
      <w:r>
        <w:rPr>
          <w:b/>
        </w:rPr>
        <w:t>“</w:t>
      </w:r>
      <w:r>
        <w:rPr>
          <w:rStyle w:val="CharDefText"/>
        </w:rPr>
        <w:t>Sale Date</w:t>
      </w:r>
      <w:r>
        <w:rPr>
          <w:b/>
        </w:rPr>
        <w:t>”</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[Schedule 4 inserted by No. 39 of 2001 s. 7.]</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200" w:name="_Toc95644835"/>
      <w:bookmarkStart w:id="201" w:name="_Toc96923045"/>
      <w:bookmarkStart w:id="202" w:name="_Toc102725910"/>
      <w:bookmarkStart w:id="203" w:name="_Toc199739666"/>
      <w:bookmarkStart w:id="204" w:name="_Toc199739708"/>
      <w:bookmarkStart w:id="205" w:name="_Toc199739750"/>
      <w:bookmarkStart w:id="206" w:name="_Toc199739792"/>
      <w:bookmarkStart w:id="207" w:name="_Toc199816016"/>
      <w:r>
        <w:t>Notes</w:t>
      </w:r>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8" w:name="_Toc590059"/>
      <w:bookmarkStart w:id="209" w:name="_Toc199739751"/>
      <w:bookmarkStart w:id="210" w:name="_Toc199816017"/>
      <w:r>
        <w:rPr>
          <w:snapToGrid w:val="0"/>
        </w:rPr>
        <w:t>Compilation table</w:t>
      </w:r>
      <w:bookmarkEnd w:id="208"/>
      <w:bookmarkEnd w:id="209"/>
      <w:bookmarkEnd w:id="21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Diamond (Ashton Joint Venture) Agreement Act 1981</w:t>
            </w:r>
            <w:r>
              <w:rPr>
                <w:sz w:val="19"/>
              </w:rPr>
              <w:t> </w:t>
            </w:r>
            <w:r>
              <w:rPr>
                <w:sz w:val="19"/>
                <w:vertAlign w:val="superscript"/>
              </w:rPr>
              <w:t>7</w:t>
            </w:r>
          </w:p>
        </w:tc>
        <w:tc>
          <w:tcPr>
            <w:tcW w:w="1134" w:type="dxa"/>
          </w:tcPr>
          <w:p>
            <w:pPr>
              <w:pStyle w:val="nTable"/>
              <w:spacing w:before="120"/>
              <w:rPr>
                <w:sz w:val="19"/>
              </w:rPr>
            </w:pPr>
            <w:r>
              <w:rPr>
                <w:sz w:val="19"/>
              </w:rPr>
              <w:t>108 of 1981</w:t>
            </w:r>
          </w:p>
        </w:tc>
        <w:tc>
          <w:tcPr>
            <w:tcW w:w="1134" w:type="dxa"/>
          </w:tcPr>
          <w:p>
            <w:pPr>
              <w:pStyle w:val="nTable"/>
              <w:spacing w:before="120"/>
              <w:rPr>
                <w:sz w:val="19"/>
              </w:rPr>
            </w:pPr>
            <w:r>
              <w:rPr>
                <w:sz w:val="19"/>
              </w:rPr>
              <w:t>4 Dec 1981</w:t>
            </w:r>
          </w:p>
        </w:tc>
        <w:tc>
          <w:tcPr>
            <w:tcW w:w="2552" w:type="dxa"/>
          </w:tcPr>
          <w:p>
            <w:pPr>
              <w:pStyle w:val="nTable"/>
              <w:spacing w:before="120"/>
              <w:rPr>
                <w:sz w:val="19"/>
              </w:rPr>
            </w:pPr>
            <w:r>
              <w:rPr>
                <w:sz w:val="19"/>
              </w:rPr>
              <w:t>4 Dec 1981</w:t>
            </w:r>
          </w:p>
        </w:tc>
      </w:tr>
      <w:tr>
        <w:trPr>
          <w:cantSplit/>
        </w:trPr>
        <w:tc>
          <w:tcPr>
            <w:tcW w:w="2268" w:type="dxa"/>
          </w:tcPr>
          <w:p>
            <w:pPr>
              <w:pStyle w:val="nTable"/>
              <w:spacing w:before="120"/>
              <w:ind w:right="113"/>
              <w:rPr>
                <w:i/>
                <w:sz w:val="19"/>
              </w:rPr>
            </w:pPr>
            <w:r>
              <w:rPr>
                <w:i/>
                <w:sz w:val="19"/>
              </w:rPr>
              <w:t>Diamond (Ashton Joint Venture) Agreement Amendment Act 1983</w:t>
            </w:r>
          </w:p>
        </w:tc>
        <w:tc>
          <w:tcPr>
            <w:tcW w:w="1134" w:type="dxa"/>
          </w:tcPr>
          <w:p>
            <w:pPr>
              <w:pStyle w:val="nTable"/>
              <w:spacing w:before="120"/>
              <w:rPr>
                <w:sz w:val="19"/>
              </w:rPr>
            </w:pPr>
            <w:r>
              <w:rPr>
                <w:sz w:val="19"/>
              </w:rPr>
              <w:t>12 of 1983</w:t>
            </w:r>
          </w:p>
        </w:tc>
        <w:tc>
          <w:tcPr>
            <w:tcW w:w="1134" w:type="dxa"/>
          </w:tcPr>
          <w:p>
            <w:pPr>
              <w:pStyle w:val="nTable"/>
              <w:spacing w:before="120"/>
              <w:rPr>
                <w:sz w:val="19"/>
              </w:rPr>
            </w:pPr>
            <w:r>
              <w:rPr>
                <w:sz w:val="19"/>
              </w:rPr>
              <w:t>31 Oct 1983</w:t>
            </w:r>
          </w:p>
        </w:tc>
        <w:tc>
          <w:tcPr>
            <w:tcW w:w="2552" w:type="dxa"/>
          </w:tcPr>
          <w:p>
            <w:pPr>
              <w:pStyle w:val="nTable"/>
              <w:spacing w:before="120"/>
              <w:rPr>
                <w:sz w:val="19"/>
              </w:rPr>
            </w:pPr>
            <w:r>
              <w:rPr>
                <w:sz w:val="19"/>
              </w:rPr>
              <w:t>31 Oct 1983</w:t>
            </w:r>
          </w:p>
        </w:tc>
      </w:tr>
      <w:tr>
        <w:trPr>
          <w:cantSplit/>
        </w:trPr>
        <w:tc>
          <w:tcPr>
            <w:tcW w:w="2268" w:type="dxa"/>
          </w:tcPr>
          <w:p>
            <w:pPr>
              <w:pStyle w:val="nTable"/>
              <w:spacing w:before="120"/>
              <w:ind w:right="113"/>
              <w:rPr>
                <w:sz w:val="19"/>
              </w:rPr>
            </w:pPr>
            <w:r>
              <w:rPr>
                <w:i/>
                <w:sz w:val="19"/>
              </w:rPr>
              <w:t>Sentencing (Consequential Provisions) Act 1995</w:t>
            </w:r>
            <w:r>
              <w:rPr>
                <w:sz w:val="19"/>
              </w:rPr>
              <w:t xml:space="preserve"> Pt. 24</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Security and Related Activities (Control) Act 1996</w:t>
            </w:r>
            <w:r>
              <w:rPr>
                <w:sz w:val="19"/>
              </w:rPr>
              <w:t xml:space="preserve"> s. 96</w:t>
            </w:r>
          </w:p>
        </w:tc>
        <w:tc>
          <w:tcPr>
            <w:tcW w:w="1134" w:type="dxa"/>
          </w:tcPr>
          <w:p>
            <w:pPr>
              <w:pStyle w:val="nTable"/>
              <w:spacing w:before="120"/>
              <w:rPr>
                <w:sz w:val="19"/>
              </w:rPr>
            </w:pPr>
            <w:r>
              <w:rPr>
                <w:sz w:val="19"/>
              </w:rPr>
              <w:t>27 of 1996</w:t>
            </w:r>
          </w:p>
        </w:tc>
        <w:tc>
          <w:tcPr>
            <w:tcW w:w="1134" w:type="dxa"/>
          </w:tcPr>
          <w:p>
            <w:pPr>
              <w:pStyle w:val="nTable"/>
              <w:spacing w:before="120"/>
              <w:rPr>
                <w:sz w:val="19"/>
              </w:rPr>
            </w:pPr>
            <w:r>
              <w:rPr>
                <w:sz w:val="19"/>
              </w:rPr>
              <w:t>22 Jul 1996</w:t>
            </w:r>
          </w:p>
        </w:tc>
        <w:tc>
          <w:tcPr>
            <w:tcW w:w="2552" w:type="dxa"/>
          </w:tcPr>
          <w:p>
            <w:pPr>
              <w:pStyle w:val="nTable"/>
              <w:spacing w:before="12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before="120"/>
              <w:ind w:right="113"/>
              <w:rPr>
                <w:i/>
                <w:sz w:val="19"/>
              </w:rPr>
            </w:pPr>
            <w:r>
              <w:rPr>
                <w:i/>
                <w:sz w:val="19"/>
              </w:rPr>
              <w:t>Diamond (Argyle Diamond Mines Joint Venture) Agreement Amendment Act 2001</w:t>
            </w:r>
          </w:p>
        </w:tc>
        <w:tc>
          <w:tcPr>
            <w:tcW w:w="1134" w:type="dxa"/>
          </w:tcPr>
          <w:p>
            <w:pPr>
              <w:pStyle w:val="nTable"/>
              <w:spacing w:before="120"/>
              <w:rPr>
                <w:sz w:val="19"/>
              </w:rPr>
            </w:pPr>
            <w:r>
              <w:rPr>
                <w:sz w:val="19"/>
              </w:rPr>
              <w:t>39 of 2001</w:t>
            </w:r>
          </w:p>
        </w:tc>
        <w:tc>
          <w:tcPr>
            <w:tcW w:w="1134" w:type="dxa"/>
          </w:tcPr>
          <w:p>
            <w:pPr>
              <w:pStyle w:val="nTable"/>
              <w:spacing w:before="120"/>
              <w:rPr>
                <w:sz w:val="19"/>
              </w:rPr>
            </w:pPr>
            <w:r>
              <w:rPr>
                <w:sz w:val="19"/>
              </w:rPr>
              <w:t>7 Jan 2002</w:t>
            </w:r>
          </w:p>
        </w:tc>
        <w:tc>
          <w:tcPr>
            <w:tcW w:w="2552" w:type="dxa"/>
          </w:tcPr>
          <w:p>
            <w:pPr>
              <w:pStyle w:val="nTable"/>
              <w:spacing w:before="120"/>
              <w:rPr>
                <w:sz w:val="19"/>
              </w:rPr>
            </w:pPr>
            <w:r>
              <w:rPr>
                <w:sz w:val="19"/>
              </w:rPr>
              <w:t>4 Feb 2002 (see s. 2)</w:t>
            </w:r>
          </w:p>
        </w:tc>
      </w:tr>
      <w:tr>
        <w:trPr>
          <w:cantSplit/>
        </w:trPr>
        <w:tc>
          <w:tcPr>
            <w:tcW w:w="7088" w:type="dxa"/>
            <w:gridSpan w:val="4"/>
          </w:tcPr>
          <w:p>
            <w:pPr>
              <w:pStyle w:val="nTable"/>
              <w:spacing w:before="12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68" w:type="dxa"/>
            <w:tcBorders>
              <w:bottom w:val="single" w:sz="4" w:space="0" w:color="auto"/>
            </w:tcBorders>
          </w:tcPr>
          <w:p>
            <w:pPr>
              <w:pStyle w:val="nTable"/>
              <w:spacing w:before="12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4" w:type="dxa"/>
            <w:tcBorders>
              <w:bottom w:val="single" w:sz="4" w:space="0" w:color="auto"/>
            </w:tcBorders>
          </w:tcPr>
          <w:p>
            <w:pPr>
              <w:pStyle w:val="nTable"/>
              <w:spacing w:before="120"/>
              <w:rPr>
                <w:sz w:val="19"/>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 w:name="_Toc7405065"/>
      <w:bookmarkStart w:id="212" w:name="_Toc181500909"/>
      <w:bookmarkStart w:id="213" w:name="_Toc193100050"/>
      <w:bookmarkStart w:id="214" w:name="_Toc199739752"/>
      <w:bookmarkStart w:id="215" w:name="_Toc199816018"/>
      <w:r>
        <w:t>Provisions that have not come into operation</w:t>
      </w:r>
      <w:bookmarkEnd w:id="211"/>
      <w:bookmarkEnd w:id="212"/>
      <w:bookmarkEnd w:id="213"/>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Pr>
        <w:pStyle w:val="nSubsection"/>
        <w:keepLines/>
        <w:rPr>
          <w:snapToGrid w:val="0"/>
        </w:rPr>
      </w:pPr>
      <w:bookmarkStart w:id="216" w:name="_Hlt63842594"/>
      <w:bookmarkEnd w:id="216"/>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19, </w:t>
      </w:r>
      <w:r>
        <w:rPr>
          <w:snapToGrid w:val="0"/>
        </w:rPr>
        <w:t>had not come into operation.  It reads as follows:</w:t>
      </w:r>
    </w:p>
    <w:p>
      <w:pPr>
        <w:pStyle w:val="MiscOpen"/>
      </w:pPr>
      <w:r>
        <w:t>“</w:t>
      </w:r>
    </w:p>
    <w:p>
      <w:pPr>
        <w:pStyle w:val="nzHeading5"/>
      </w:pPr>
      <w:bookmarkStart w:id="217" w:name="_Toc123015208"/>
      <w:bookmarkStart w:id="218" w:name="_Toc198710526"/>
      <w:bookmarkStart w:id="219" w:name="_Toc123015245"/>
      <w:bookmarkStart w:id="220" w:name="_Toc123107250"/>
      <w:bookmarkStart w:id="221" w:name="_Toc123628756"/>
      <w:bookmarkStart w:id="222" w:name="_Toc123631684"/>
      <w:bookmarkStart w:id="223" w:name="_Toc123632442"/>
      <w:bookmarkStart w:id="224" w:name="_Toc123632734"/>
      <w:bookmarkStart w:id="225" w:name="_Toc123633002"/>
      <w:bookmarkStart w:id="226" w:name="_Toc125962700"/>
      <w:bookmarkStart w:id="227" w:name="_Toc125963174"/>
      <w:bookmarkStart w:id="228" w:name="_Toc125963735"/>
      <w:bookmarkStart w:id="229" w:name="_Toc125965273"/>
      <w:bookmarkStart w:id="230" w:name="_Toc126111570"/>
      <w:bookmarkStart w:id="231" w:name="_Toc126113970"/>
      <w:bookmarkStart w:id="232" w:name="_Toc127672182"/>
      <w:bookmarkStart w:id="233" w:name="_Toc127681477"/>
      <w:bookmarkStart w:id="234" w:name="_Toc127688542"/>
      <w:bookmarkStart w:id="235" w:name="_Toc127757922"/>
      <w:bookmarkStart w:id="236" w:name="_Toc127764652"/>
      <w:bookmarkStart w:id="237" w:name="_Toc128468958"/>
      <w:bookmarkStart w:id="238" w:name="_Toc128471408"/>
      <w:bookmarkStart w:id="239" w:name="_Toc128557636"/>
      <w:bookmarkStart w:id="240" w:name="_Toc128816407"/>
      <w:bookmarkStart w:id="241" w:name="_Toc128977286"/>
      <w:bookmarkStart w:id="242" w:name="_Toc128977554"/>
      <w:bookmarkStart w:id="243" w:name="_Toc129680954"/>
      <w:bookmarkStart w:id="244" w:name="_Toc129754731"/>
      <w:bookmarkStart w:id="245" w:name="_Toc129764011"/>
      <w:bookmarkStart w:id="246" w:name="_Toc130179828"/>
      <w:bookmarkStart w:id="247" w:name="_Toc130186312"/>
      <w:bookmarkStart w:id="248" w:name="_Toc130186580"/>
      <w:bookmarkStart w:id="249" w:name="_Toc130187357"/>
      <w:bookmarkStart w:id="250" w:name="_Toc130190640"/>
      <w:bookmarkStart w:id="251" w:name="_Toc130358787"/>
      <w:bookmarkStart w:id="252" w:name="_Toc130359529"/>
      <w:bookmarkStart w:id="253" w:name="_Toc130359797"/>
      <w:bookmarkStart w:id="254" w:name="_Toc130365033"/>
      <w:bookmarkStart w:id="255" w:name="_Toc130369448"/>
      <w:bookmarkStart w:id="256" w:name="_Toc130371953"/>
      <w:bookmarkStart w:id="257" w:name="_Toc130372228"/>
      <w:bookmarkStart w:id="258" w:name="_Toc130605537"/>
      <w:bookmarkStart w:id="259" w:name="_Toc130606760"/>
      <w:bookmarkStart w:id="260" w:name="_Toc130607038"/>
      <w:bookmarkStart w:id="261" w:name="_Toc130610186"/>
      <w:bookmarkStart w:id="262" w:name="_Toc130618872"/>
      <w:bookmarkStart w:id="263" w:name="_Toc130622807"/>
      <w:bookmarkStart w:id="264" w:name="_Toc130623084"/>
      <w:bookmarkStart w:id="265" w:name="_Toc130623361"/>
      <w:bookmarkStart w:id="266" w:name="_Toc130625353"/>
      <w:bookmarkStart w:id="267" w:name="_Toc130625630"/>
      <w:bookmarkStart w:id="268" w:name="_Toc130630820"/>
      <w:bookmarkStart w:id="269" w:name="_Toc131315903"/>
      <w:bookmarkStart w:id="270" w:name="_Toc131386384"/>
      <w:bookmarkStart w:id="271" w:name="_Toc131394561"/>
      <w:bookmarkStart w:id="272" w:name="_Toc131397022"/>
      <w:bookmarkStart w:id="273" w:name="_Toc131399673"/>
      <w:bookmarkStart w:id="274" w:name="_Toc131404065"/>
      <w:bookmarkStart w:id="275" w:name="_Toc131480511"/>
      <w:bookmarkStart w:id="276" w:name="_Toc131480788"/>
      <w:bookmarkStart w:id="277" w:name="_Toc131489893"/>
      <w:bookmarkStart w:id="278" w:name="_Toc131490170"/>
      <w:bookmarkStart w:id="279" w:name="_Toc131491452"/>
      <w:bookmarkStart w:id="280" w:name="_Toc131572588"/>
      <w:bookmarkStart w:id="281" w:name="_Toc131573040"/>
      <w:bookmarkStart w:id="282" w:name="_Toc131573595"/>
      <w:bookmarkStart w:id="283" w:name="_Toc131576351"/>
      <w:bookmarkStart w:id="284" w:name="_Toc131576627"/>
      <w:bookmarkStart w:id="285" w:name="_Toc132529244"/>
      <w:bookmarkStart w:id="286" w:name="_Toc132529521"/>
      <w:bookmarkStart w:id="287" w:name="_Toc132531519"/>
      <w:bookmarkStart w:id="288" w:name="_Toc132609582"/>
      <w:bookmarkStart w:id="289" w:name="_Toc132611028"/>
      <w:bookmarkStart w:id="290" w:name="_Toc132612713"/>
      <w:bookmarkStart w:id="291" w:name="_Toc132618166"/>
      <w:bookmarkStart w:id="292" w:name="_Toc132678649"/>
      <w:bookmarkStart w:id="293" w:name="_Toc132689609"/>
      <w:bookmarkStart w:id="294" w:name="_Toc132691019"/>
      <w:bookmarkStart w:id="295" w:name="_Toc132692891"/>
      <w:bookmarkStart w:id="296" w:name="_Toc133113567"/>
      <w:bookmarkStart w:id="297" w:name="_Toc133122134"/>
      <w:bookmarkStart w:id="298" w:name="_Toc133122938"/>
      <w:bookmarkStart w:id="299" w:name="_Toc133123726"/>
      <w:bookmarkStart w:id="300" w:name="_Toc133129725"/>
      <w:bookmarkStart w:id="301" w:name="_Toc133993856"/>
      <w:bookmarkStart w:id="302" w:name="_Toc133994802"/>
      <w:bookmarkStart w:id="303" w:name="_Toc133998494"/>
      <w:bookmarkStart w:id="304" w:name="_Toc134000404"/>
      <w:bookmarkStart w:id="305" w:name="_Toc135013649"/>
      <w:bookmarkStart w:id="306" w:name="_Toc135016136"/>
      <w:bookmarkStart w:id="307" w:name="_Toc135016663"/>
      <w:bookmarkStart w:id="308" w:name="_Toc135470166"/>
      <w:bookmarkStart w:id="309" w:name="_Toc135542352"/>
      <w:bookmarkStart w:id="310" w:name="_Toc135543579"/>
      <w:bookmarkStart w:id="311" w:name="_Toc135546494"/>
      <w:bookmarkStart w:id="312" w:name="_Toc135551360"/>
      <w:bookmarkStart w:id="313" w:name="_Toc136069183"/>
      <w:bookmarkStart w:id="314" w:name="_Toc136419431"/>
      <w:bookmarkStart w:id="315" w:name="_Toc137021091"/>
      <w:bookmarkStart w:id="316" w:name="_Toc137021376"/>
      <w:bookmarkStart w:id="317" w:name="_Toc137024728"/>
      <w:bookmarkStart w:id="318" w:name="_Toc137433227"/>
      <w:bookmarkStart w:id="319" w:name="_Toc137441673"/>
      <w:bookmarkStart w:id="320" w:name="_Toc137456883"/>
      <w:bookmarkStart w:id="321" w:name="_Toc137530657"/>
      <w:bookmarkStart w:id="322" w:name="_Toc137609037"/>
      <w:bookmarkStart w:id="323" w:name="_Toc137626688"/>
      <w:bookmarkStart w:id="324" w:name="_Toc137958522"/>
      <w:bookmarkStart w:id="325" w:name="_Toc137959471"/>
      <w:bookmarkStart w:id="326" w:name="_Toc137965783"/>
      <w:bookmarkStart w:id="327" w:name="_Toc137966736"/>
      <w:bookmarkStart w:id="328" w:name="_Toc137968145"/>
      <w:bookmarkStart w:id="329" w:name="_Toc137968428"/>
      <w:bookmarkStart w:id="330" w:name="_Toc137968711"/>
      <w:bookmarkStart w:id="331" w:name="_Toc137969382"/>
      <w:bookmarkStart w:id="332" w:name="_Toc137969664"/>
      <w:bookmarkStart w:id="333" w:name="_Toc137972763"/>
      <w:bookmarkStart w:id="334" w:name="_Toc138040741"/>
      <w:bookmarkStart w:id="335" w:name="_Toc138041150"/>
      <w:bookmarkStart w:id="336" w:name="_Toc138042678"/>
      <w:bookmarkStart w:id="337" w:name="_Toc138043287"/>
      <w:bookmarkStart w:id="338" w:name="_Toc138055611"/>
      <w:bookmarkStart w:id="339" w:name="_Toc138056786"/>
      <w:bookmarkStart w:id="340" w:name="_Toc138057800"/>
      <w:bookmarkStart w:id="341" w:name="_Toc138061024"/>
      <w:bookmarkStart w:id="342" w:name="_Toc138121534"/>
      <w:bookmarkStart w:id="343" w:name="_Toc138122474"/>
      <w:bookmarkStart w:id="344" w:name="_Toc138122756"/>
      <w:bookmarkStart w:id="345" w:name="_Toc138123193"/>
      <w:bookmarkStart w:id="346" w:name="_Toc138123864"/>
      <w:bookmarkStart w:id="347" w:name="_Toc138124596"/>
      <w:bookmarkStart w:id="348" w:name="_Toc138126853"/>
      <w:bookmarkStart w:id="349" w:name="_Toc138129436"/>
      <w:bookmarkStart w:id="350" w:name="_Toc138132054"/>
      <w:bookmarkStart w:id="351" w:name="_Toc138133839"/>
      <w:bookmarkStart w:id="352" w:name="_Toc138141501"/>
      <w:bookmarkStart w:id="353" w:name="_Toc138143579"/>
      <w:bookmarkStart w:id="354" w:name="_Toc138145517"/>
      <w:bookmarkStart w:id="355" w:name="_Toc138218848"/>
      <w:bookmarkStart w:id="356" w:name="_Toc138474152"/>
      <w:bookmarkStart w:id="357" w:name="_Toc138474816"/>
      <w:bookmarkStart w:id="358" w:name="_Toc138734998"/>
      <w:bookmarkStart w:id="359" w:name="_Toc138735281"/>
      <w:bookmarkStart w:id="360" w:name="_Toc138735631"/>
      <w:bookmarkStart w:id="361" w:name="_Toc138759078"/>
      <w:bookmarkStart w:id="362" w:name="_Toc138828324"/>
      <w:bookmarkStart w:id="363" w:name="_Toc138844689"/>
      <w:bookmarkStart w:id="364" w:name="_Toc139079033"/>
      <w:bookmarkStart w:id="365" w:name="_Toc139082391"/>
      <w:bookmarkStart w:id="366" w:name="_Toc139084878"/>
      <w:bookmarkStart w:id="367" w:name="_Toc139086733"/>
      <w:bookmarkStart w:id="368" w:name="_Toc139087301"/>
      <w:bookmarkStart w:id="369" w:name="_Toc139087584"/>
      <w:bookmarkStart w:id="370" w:name="_Toc139087956"/>
      <w:bookmarkStart w:id="371" w:name="_Toc139088632"/>
      <w:bookmarkStart w:id="372" w:name="_Toc139088915"/>
      <w:bookmarkStart w:id="373" w:name="_Toc139091497"/>
      <w:bookmarkStart w:id="374" w:name="_Toc139092307"/>
      <w:bookmarkStart w:id="375" w:name="_Toc139094378"/>
      <w:bookmarkStart w:id="376" w:name="_Toc139095344"/>
      <w:bookmarkStart w:id="377" w:name="_Toc139096600"/>
      <w:bookmarkStart w:id="378" w:name="_Toc139097433"/>
      <w:bookmarkStart w:id="379" w:name="_Toc139099826"/>
      <w:bookmarkStart w:id="380" w:name="_Toc139101182"/>
      <w:bookmarkStart w:id="381" w:name="_Toc139101639"/>
      <w:bookmarkStart w:id="382" w:name="_Toc139101971"/>
      <w:bookmarkStart w:id="383" w:name="_Toc139102531"/>
      <w:bookmarkStart w:id="384" w:name="_Toc139103007"/>
      <w:bookmarkStart w:id="385" w:name="_Toc139174828"/>
      <w:bookmarkStart w:id="386" w:name="_Toc139176245"/>
      <w:bookmarkStart w:id="387" w:name="_Toc139177393"/>
      <w:bookmarkStart w:id="388" w:name="_Toc139180312"/>
      <w:bookmarkStart w:id="389" w:name="_Toc139181066"/>
      <w:bookmarkStart w:id="390" w:name="_Toc139182160"/>
      <w:bookmarkStart w:id="391" w:name="_Toc139190005"/>
      <w:bookmarkStart w:id="392" w:name="_Toc139190383"/>
      <w:bookmarkStart w:id="393" w:name="_Toc139190668"/>
      <w:bookmarkStart w:id="394" w:name="_Toc139190951"/>
      <w:bookmarkStart w:id="395" w:name="_Toc139263808"/>
      <w:bookmarkStart w:id="396" w:name="_Toc139277308"/>
      <w:bookmarkStart w:id="397" w:name="_Toc139336949"/>
      <w:bookmarkStart w:id="398" w:name="_Toc139342532"/>
      <w:bookmarkStart w:id="399" w:name="_Toc139345015"/>
      <w:bookmarkStart w:id="400" w:name="_Toc139345298"/>
      <w:bookmarkStart w:id="401" w:name="_Toc139346294"/>
      <w:bookmarkStart w:id="402" w:name="_Toc139347553"/>
      <w:bookmarkStart w:id="403" w:name="_Toc139355813"/>
      <w:bookmarkStart w:id="404" w:name="_Toc139444423"/>
      <w:bookmarkStart w:id="405" w:name="_Toc139445132"/>
      <w:bookmarkStart w:id="406" w:name="_Toc140548292"/>
      <w:bookmarkStart w:id="407" w:name="_Toc140554404"/>
      <w:bookmarkStart w:id="408" w:name="_Toc140560870"/>
      <w:bookmarkStart w:id="409" w:name="_Toc140561152"/>
      <w:bookmarkStart w:id="410" w:name="_Toc140561434"/>
      <w:bookmarkStart w:id="411" w:name="_Toc140651234"/>
      <w:bookmarkStart w:id="412" w:name="_Toc141071884"/>
      <w:bookmarkStart w:id="413" w:name="_Toc141147161"/>
      <w:bookmarkStart w:id="414" w:name="_Toc141148394"/>
      <w:bookmarkStart w:id="415" w:name="_Toc143332505"/>
      <w:bookmarkStart w:id="416" w:name="_Toc143492813"/>
      <w:bookmarkStart w:id="417" w:name="_Toc143505098"/>
      <w:bookmarkStart w:id="418" w:name="_Toc143654442"/>
      <w:bookmarkStart w:id="419" w:name="_Toc143911377"/>
      <w:bookmarkStart w:id="420" w:name="_Toc143914192"/>
      <w:bookmarkStart w:id="421" w:name="_Toc143917049"/>
      <w:bookmarkStart w:id="422" w:name="_Toc143934579"/>
      <w:bookmarkStart w:id="423" w:name="_Toc143934890"/>
      <w:bookmarkStart w:id="424" w:name="_Toc143936384"/>
      <w:bookmarkStart w:id="425" w:name="_Toc144005049"/>
      <w:bookmarkStart w:id="426" w:name="_Toc144010249"/>
      <w:bookmarkStart w:id="427" w:name="_Toc144014576"/>
      <w:bookmarkStart w:id="428" w:name="_Toc144016293"/>
      <w:bookmarkStart w:id="429" w:name="_Toc144016944"/>
      <w:bookmarkStart w:id="430" w:name="_Toc144017813"/>
      <w:bookmarkStart w:id="431" w:name="_Toc144021573"/>
      <w:bookmarkStart w:id="432" w:name="_Toc144022379"/>
      <w:bookmarkStart w:id="433" w:name="_Toc144023382"/>
      <w:bookmarkStart w:id="434" w:name="_Toc144088138"/>
      <w:bookmarkStart w:id="435" w:name="_Toc144090126"/>
      <w:bookmarkStart w:id="436" w:name="_Toc144102490"/>
      <w:bookmarkStart w:id="437" w:name="_Toc144187820"/>
      <w:bookmarkStart w:id="438" w:name="_Toc144200622"/>
      <w:bookmarkStart w:id="439" w:name="_Toc144201316"/>
      <w:bookmarkStart w:id="440" w:name="_Toc144259142"/>
      <w:bookmarkStart w:id="441" w:name="_Toc144262236"/>
      <w:bookmarkStart w:id="442" w:name="_Toc144607188"/>
      <w:bookmarkStart w:id="443" w:name="_Toc144607511"/>
      <w:bookmarkStart w:id="444" w:name="_Toc144608998"/>
      <w:bookmarkStart w:id="445" w:name="_Toc144611810"/>
      <w:bookmarkStart w:id="446" w:name="_Toc144617092"/>
      <w:bookmarkStart w:id="447" w:name="_Toc144775087"/>
      <w:bookmarkStart w:id="448" w:name="_Toc144788914"/>
      <w:bookmarkStart w:id="449" w:name="_Toc144792436"/>
      <w:bookmarkStart w:id="450" w:name="_Toc144792724"/>
      <w:bookmarkStart w:id="451" w:name="_Toc144793012"/>
      <w:bookmarkStart w:id="452" w:name="_Toc144798173"/>
      <w:bookmarkStart w:id="453" w:name="_Toc144798925"/>
      <w:bookmarkStart w:id="454" w:name="_Toc144880369"/>
      <w:bookmarkStart w:id="455" w:name="_Toc144881844"/>
      <w:bookmarkStart w:id="456" w:name="_Toc144882132"/>
      <w:bookmarkStart w:id="457" w:name="_Toc144883991"/>
      <w:bookmarkStart w:id="458" w:name="_Toc144884279"/>
      <w:bookmarkStart w:id="459" w:name="_Toc145124191"/>
      <w:bookmarkStart w:id="460" w:name="_Toc145135423"/>
      <w:bookmarkStart w:id="461" w:name="_Toc145136795"/>
      <w:bookmarkStart w:id="462" w:name="_Toc145142093"/>
      <w:bookmarkStart w:id="463" w:name="_Toc145147876"/>
      <w:bookmarkStart w:id="464" w:name="_Toc145208203"/>
      <w:bookmarkStart w:id="465" w:name="_Toc145208944"/>
      <w:bookmarkStart w:id="466" w:name="_Toc145209232"/>
      <w:bookmarkStart w:id="467" w:name="_Toc149542906"/>
      <w:bookmarkStart w:id="468" w:name="_Toc149544160"/>
      <w:bookmarkStart w:id="469" w:name="_Toc149545455"/>
      <w:bookmarkStart w:id="470" w:name="_Toc149545744"/>
      <w:bookmarkStart w:id="471" w:name="_Toc149546033"/>
      <w:bookmarkStart w:id="472" w:name="_Toc149546322"/>
      <w:bookmarkStart w:id="473" w:name="_Toc149546676"/>
      <w:bookmarkStart w:id="474" w:name="_Toc149547709"/>
      <w:bookmarkStart w:id="475" w:name="_Toc149562331"/>
      <w:bookmarkStart w:id="476" w:name="_Toc149562836"/>
      <w:bookmarkStart w:id="477" w:name="_Toc149563277"/>
      <w:bookmarkStart w:id="478" w:name="_Toc149563566"/>
      <w:bookmarkStart w:id="479" w:name="_Toc149642650"/>
      <w:bookmarkStart w:id="480" w:name="_Toc149643345"/>
      <w:bookmarkStart w:id="481" w:name="_Toc149643634"/>
      <w:bookmarkStart w:id="482" w:name="_Toc149644128"/>
      <w:bookmarkStart w:id="483" w:name="_Toc149644952"/>
      <w:bookmarkStart w:id="484" w:name="_Toc149717061"/>
      <w:bookmarkStart w:id="485" w:name="_Toc149957838"/>
      <w:bookmarkStart w:id="486" w:name="_Toc149958786"/>
      <w:bookmarkStart w:id="487" w:name="_Toc149959735"/>
      <w:bookmarkStart w:id="488" w:name="_Toc149961000"/>
      <w:bookmarkStart w:id="489" w:name="_Toc149961346"/>
      <w:bookmarkStart w:id="490" w:name="_Toc149961636"/>
      <w:bookmarkStart w:id="491" w:name="_Toc149962970"/>
      <w:bookmarkStart w:id="492" w:name="_Toc149978790"/>
      <w:bookmarkStart w:id="493" w:name="_Toc151431600"/>
      <w:bookmarkStart w:id="494" w:name="_Toc151860834"/>
      <w:bookmarkStart w:id="495" w:name="_Toc151965414"/>
      <w:bookmarkStart w:id="496" w:name="_Toc152404448"/>
      <w:bookmarkStart w:id="497" w:name="_Toc182887171"/>
      <w:bookmarkStart w:id="498" w:name="_Toc198710562"/>
      <w:r>
        <w:rPr>
          <w:rStyle w:val="CharSectno"/>
        </w:rPr>
        <w:t>162</w:t>
      </w:r>
      <w:r>
        <w:t>.</w:t>
      </w:r>
      <w:r>
        <w:tab/>
        <w:t>Consequential amendments</w:t>
      </w:r>
      <w:bookmarkEnd w:id="217"/>
      <w:bookmarkEnd w:id="218"/>
    </w:p>
    <w:p>
      <w:pPr>
        <w:pStyle w:val="nzSubsection"/>
      </w:pPr>
      <w:r>
        <w:tab/>
      </w:r>
      <w:r>
        <w:tab/>
        <w:t>Schedule 3 sets out consequential amendments.</w:t>
      </w: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Pr>
        <w:pStyle w:val="MiscClose"/>
      </w:pPr>
      <w:r>
        <w:t>”.</w:t>
      </w:r>
    </w:p>
    <w:p>
      <w:pPr>
        <w:pStyle w:val="nzSubsection"/>
      </w:pPr>
      <w:r>
        <w:t>Schedule 3 cl. 19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99" w:name="_Toc65391733"/>
      <w:bookmarkStart w:id="500" w:name="_Toc123015264"/>
      <w:bookmarkStart w:id="501" w:name="_Toc198710581"/>
      <w:r>
        <w:rPr>
          <w:rStyle w:val="CharSClsNo"/>
        </w:rPr>
        <w:t>19</w:t>
      </w:r>
      <w:r>
        <w:t>.</w:t>
      </w:r>
      <w:r>
        <w:tab/>
      </w:r>
      <w:r>
        <w:rPr>
          <w:i/>
          <w:iCs/>
        </w:rPr>
        <w:t>Diamond (Argyle Diamond Mines Joint Venture) Agreement Act 1981</w:t>
      </w:r>
      <w:r>
        <w:t xml:space="preserve"> amended</w:t>
      </w:r>
      <w:bookmarkEnd w:id="499"/>
      <w:bookmarkEnd w:id="500"/>
      <w:bookmarkEnd w:id="501"/>
    </w:p>
    <w:p>
      <w:pPr>
        <w:pStyle w:val="nzSubsection"/>
      </w:pPr>
      <w:r>
        <w:tab/>
        <w:t>(1)</w:t>
      </w:r>
      <w:r>
        <w:tab/>
        <w:t xml:space="preserve">The amendments in this clause are to the </w:t>
      </w:r>
      <w:r>
        <w:rPr>
          <w:i/>
        </w:rPr>
        <w:t>Diamond (Argyle Diamond Mines Joint Venture) Agreement Act 1981</w:t>
      </w:r>
      <w:r>
        <w:t>.</w:t>
      </w:r>
    </w:p>
    <w:p>
      <w:pPr>
        <w:pStyle w:val="nzSubsection"/>
      </w:pPr>
      <w:r>
        <w:tab/>
        <w:t>(2)</w:t>
      </w:r>
      <w:r>
        <w:tab/>
        <w:t>Section 14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bookmarkStart w:id="502" w:name="UpToHere"/>
      <w:bookmarkEnd w:id="502"/>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III</w:t>
            </w:r>
          </w:fldSimple>
        </w:p>
      </w:tc>
      <w:tc>
        <w:tcPr>
          <w:tcW w:w="6007" w:type="dxa"/>
        </w:tcPr>
        <w:p>
          <w:pPr>
            <w:pStyle w:val="HeaderTextLeft"/>
          </w:pPr>
          <w:fldSimple w:instr=" styleref CharPartText ">
            <w:r>
              <w:rPr>
                <w:noProof/>
              </w:rPr>
              <w:t>Mining tenements and rights as to minerals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fldSimple w:instr=" styleref CharPartText ">
            <w:r>
              <w:rPr>
                <w:noProof/>
              </w:rPr>
              <w:t>Mining tenements and rights as to minerals</w:t>
            </w:r>
          </w:fldSimple>
        </w:p>
      </w:tc>
      <w:tc>
        <w:tcPr>
          <w:tcW w:w="1327" w:type="dxa"/>
        </w:tcPr>
        <w:p>
          <w:pPr>
            <w:pStyle w:val="HeaderNumberRight"/>
          </w:pPr>
          <w:fldSimple w:instr=" styleref CharPartNo ">
            <w:r>
              <w:rPr>
                <w:noProof/>
              </w:rPr>
              <w:t>Part III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7BB8AF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7"/>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910"/>
    <w:docVar w:name="WAFER_20151210110910" w:val="RemoveTrackChanges"/>
    <w:docVar w:name="WAFER_20151210110910_GUID" w:val="9cd3d9cc-4213-4140-bf71-29b212a992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35853</Words>
  <Characters>173174</Characters>
  <Application>Microsoft Office Word</Application>
  <DocSecurity>0</DocSecurity>
  <Lines>4329</Lines>
  <Paragraphs>1771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1981 - 01-c0-02</dc:title>
  <dc:subject/>
  <dc:creator/>
  <cp:keywords/>
  <dc:description/>
  <cp:lastModifiedBy>svcMRProcess</cp:lastModifiedBy>
  <cp:revision>4</cp:revision>
  <cp:lastPrinted>2002-06-11T07:34:00Z</cp:lastPrinted>
  <dcterms:created xsi:type="dcterms:W3CDTF">2020-02-14T15:57:00Z</dcterms:created>
  <dcterms:modified xsi:type="dcterms:W3CDTF">2020-02-14T15:57:00Z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222</vt:i4>
  </property>
  <property fmtid="{D5CDD505-2E9C-101B-9397-08002B2CF9AE}" pid="6" name="AsAtDate">
    <vt:lpwstr>27 May 2008</vt:lpwstr>
  </property>
  <property fmtid="{D5CDD505-2E9C-101B-9397-08002B2CF9AE}" pid="7" name="Suffix">
    <vt:lpwstr>01-c0-02</vt:lpwstr>
  </property>
</Properties>
</file>