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Cemeteries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Metropolitan Cemeteries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Cemeteries Act 1986</w:t>
            </w:r>
          </w:p>
        </w:tc>
        <w:tc>
          <w:p>
            <w:pPr>
              <w:pStyle w:val="Table01Row"/>
            </w:pPr>
            <w:r>
              <w:t>1986/102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1986;</w:t>
            </w:r>
          </w:p>
          <w:p>
            <w:pPr>
              <w:pStyle w:val="Table01Row"/>
            </w:pPr>
            <w:r>
              <w:rPr/>
              <w:t xml:space="preserve">Act other than s. 1 &amp; 2: 1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Jun 1987 p. 2319)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8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25 May 2007 (not including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May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7 Nov 2020 (see s. 2(b) and SL 2020/212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Cemeteries Act 1986</vt:lpwstr>
  </property>
  <property pid="3" name="IDAct" fmtid="{D5CDD505-2E9C-101B-9397-08002B2CF9AE}">
    <vt:lpwstr>113</vt:lpwstr>
  </property>
  <property pid="4" name="ChangedDate" fmtid="{D5CDD505-2E9C-101B-9397-08002B2CF9AE}">
    <vt:lpwstr>20240105111758</vt:lpwstr>
  </property>
</Properties>
</file>