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Commonwealth Powers (De Facto Relationships)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Commonwealth Powers (De Facto Relationships) Act 2006</w:t>
            </w:r>
          </w:p>
        </w:tc>
        <w:tc>
          <w:p>
            <w:pPr>
              <w:pStyle w:val="Table01Row"/>
            </w:pPr>
            <w:r>
              <w:t>2006/026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s. 1 &amp; 2: 26 Jun 2006;</w:t>
            </w:r>
          </w:p>
          <w:p>
            <w:pPr>
              <w:pStyle w:val="Table01Row"/>
            </w:pPr>
            <w:r>
              <w:rPr/>
              <w:t xml:space="preserve">Act other than s. 1 &amp; 2: 21 Nov 2020 (see s. 2 &amp; SL 2020/222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Commonwealth Powers (De Facto Relationships) Act 2006</vt:lpwstr>
  </property>
  <property pid="3" name="IDAct" fmtid="{D5CDD505-2E9C-101B-9397-08002B2CF9AE}">
    <vt:lpwstr>144128</vt:lpwstr>
  </property>
  <property pid="4" name="ChangedDate" fmtid="{D5CDD505-2E9C-101B-9397-08002B2CF9AE}">
    <vt:lpwstr>20210421010821</vt:lpwstr>
  </property>
</Properties>
</file>