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King’s Park and University Land Exchange Act 1934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King’s Park and University Land Exchange Act 1934</w:t>
            </w:r>
          </w:p>
        </w:tc>
        <w:tc>
          <w:p>
            <w:pPr>
              <w:pStyle w:val="Table01Row"/>
            </w:pPr>
            <w:r>
              <w:t>1934/049 (25 Geo. V No. 48)</w:t>
            </w:r>
          </w:p>
        </w:tc>
        <w:tc>
          <w:p>
            <w:pPr>
              <w:pStyle w:val="Table01Row"/>
            </w:pPr>
            <w:r>
              <w:t>21 Jan 1935</w:t>
            </w:r>
          </w:p>
        </w:tc>
        <w:tc>
          <w:p>
            <w:pPr>
              <w:pStyle w:val="Table01Row"/>
            </w:pPr>
            <w:r>
              <w:rPr/>
              <w:t xml:space="preserve">21 Jan 1935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King's Park and University Land Exchange Act 1934</vt:lpwstr>
  </property>
  <property pid="3" name="IDAct" fmtid="{D5CDD505-2E9C-101B-9397-08002B2CF9AE}">
    <vt:lpwstr>144351</vt:lpwstr>
  </property>
  <property pid="4" name="ChangedDate" fmtid="{D5CDD505-2E9C-101B-9397-08002B2CF9AE}">
    <vt:lpwstr>20100311162048</vt:lpwstr>
  </property>
</Properties>
</file>