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(FMG Chichester Pty Ltd) Agreement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(FMG Chichester Pty Ltd) Agreement Act 2006</w:t>
            </w:r>
          </w:p>
        </w:tc>
        <w:tc>
          <w:p>
            <w:pPr>
              <w:pStyle w:val="Table01Row"/>
            </w:pPr>
            <w:r>
              <w:t>2006/044</w:t>
            </w:r>
          </w:p>
        </w:tc>
        <w:tc>
          <w:p>
            <w:pPr>
              <w:pStyle w:val="Table01Row"/>
            </w:pPr>
            <w:r>
              <w:t>3 Oct 2006</w:t>
            </w:r>
          </w:p>
        </w:tc>
        <w:tc>
          <w:p>
            <w:pPr>
              <w:pStyle w:val="Table01Row"/>
            </w:pPr>
            <w:r>
              <w:rPr/>
              <w:t xml:space="preserve">3 Oct 2006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(FMG Chichester Pty Ltd) Agreement Act 2006</vt:lpwstr>
  </property>
  <property pid="3" name="IDAct" fmtid="{D5CDD505-2E9C-101B-9397-08002B2CF9AE}">
    <vt:lpwstr>146574</vt:lpwstr>
  </property>
  <property pid="4" name="ChangedDate" fmtid="{D5CDD505-2E9C-101B-9397-08002B2CF9AE}">
    <vt:lpwstr>20230609154944</vt:lpwstr>
  </property>
</Properties>
</file>