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Swan and Canning Rivers Management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Environment (The Department of Biodiversity, Conservation and Attractions is the agency principally assisting the Minister for Environment in the administration of this Act)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Swan River Trust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Management Act 2006</w:t>
            </w:r>
          </w:p>
        </w:tc>
        <w:tc>
          <w:p>
            <w:pPr>
              <w:pStyle w:val="Table01Row"/>
            </w:pPr>
            <w:r>
              <w:t>2006/051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s. 1 &amp; 2: 6 Oct 2006;</w:t>
            </w:r>
          </w:p>
          <w:p>
            <w:pPr>
              <w:pStyle w:val="Table01Row"/>
            </w:pPr>
            <w:r>
              <w:rPr/>
              <w:t xml:space="preserve">Act other than s. 1 &amp; 2: 25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165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Swan and Canning Rivers Management Regulations 2007</w:t>
            </w:r>
            <w:r>
              <w:rPr/>
              <w:t xml:space="preserve"> r. 45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4787‑831 (r. 45‑47 as amended in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2014 p. 2328; 4 Mar 2016 p. 625‑6; SL 2023/14)</w:t>
            </w:r>
          </w:p>
        </w:tc>
        <w:tc>
          <w:p>
            <w:pPr>
              <w:pStyle w:val="Table01Row"/>
            </w:pPr>
            <w:r>
              <w:rPr/>
              <w:t xml:space="preserve">25 Sep 2007 (see note to r. 1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2007 p. 4835)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Mar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6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144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15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Commercial Arbitration Act 2012</w:t>
            </w:r>
            <w:r>
              <w:t xml:space="preserve"> </w:t>
              <w:t>s. 45 (it. 20)</w:t>
            </w:r>
          </w:p>
        </w:tc>
        <w:tc>
          <w:p>
            <w:pPr>
              <w:pStyle w:val="Table01Row"/>
            </w:pPr>
            <w:r>
              <w:t>2012/023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1B(b)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233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Management Amendment Act 2015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2015/006</w:t>
            </w:r>
          </w:p>
        </w:tc>
        <w:tc>
          <w:p>
            <w:pPr>
              <w:pStyle w:val="Table01Row"/>
            </w:pPr>
            <w:r>
              <w:t>9 Mar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Jun 2015 p. 2095)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s. 101 &amp; Pt. 5 Div. 24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s. 101: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24: to be proclaimed (see s. 2(1)(c))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14 Oct 2016 (not including 2016/019)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372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22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22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15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and Canning Rivers Management Amendment Act 2023</w:t>
            </w:r>
          </w:p>
        </w:tc>
        <w:tc>
          <w:p>
            <w:pPr>
              <w:pStyle w:val="Table01Row"/>
            </w:pPr>
            <w:r>
              <w:t>2023/002</w:t>
            </w:r>
          </w:p>
        </w:tc>
        <w:tc>
          <w:p>
            <w:pPr>
              <w:pStyle w:val="Table01Row"/>
            </w:pPr>
            <w:r>
              <w:t>1 Mar 2023</w:t>
            </w:r>
          </w:p>
        </w:tc>
        <w:tc>
          <w:p>
            <w:pPr>
              <w:pStyle w:val="Table01Row"/>
            </w:pPr>
            <w:r>
              <w:rPr/>
              <w:t xml:space="preserve">s. 1 &amp; 2: 1 Mar 2023 (see s. 2(a));</w:t>
            </w:r>
          </w:p>
          <w:p>
            <w:pPr>
              <w:pStyle w:val="Table01Row"/>
            </w:pPr>
            <w:r>
              <w:rPr/>
              <w:t xml:space="preserve">Act other than s. 1 &amp; 2: 3 Jun 2023 (see s. 2(b) and SL 2023/62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58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Pt. 3 Div. 58 (other than s. 146): 5 Apr 2023 (see s. 2(j));</w:t>
            </w:r>
          </w:p>
          <w:p>
            <w:pPr>
              <w:pStyle w:val="Table01Row"/>
            </w:pPr>
            <w:r>
              <w:rPr/>
              <w:t xml:space="preserve">s. 146: 3 Jun 2023 (see s. 2(i)(ii) and SL 2023/62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Swan and Canning Rivers Management Act 2006</vt:lpwstr>
  </property>
  <property pid="3" name="IDAct" fmtid="{D5CDD505-2E9C-101B-9397-08002B2CF9AE}">
    <vt:lpwstr>146581</vt:lpwstr>
  </property>
  <property pid="4" name="ChangedDate" fmtid="{D5CDD505-2E9C-101B-9397-08002B2CF9AE}">
    <vt:lpwstr>20230129090436</vt:lpwstr>
  </property>
</Properties>
</file>