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Swan and Canning Rivers (Consequential and Transitional Provisions)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 (The Department of Biodiversity, Conservation and Attractions is the agency principally assisting the Minister for Environment in the administration of this Act)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Swan River Trust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</w:p>
        </w:tc>
        <w:tc>
          <w:p>
            <w:pPr>
              <w:pStyle w:val="Table01Row"/>
            </w:pPr>
            <w:r>
              <w:t>2006/052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s. 1 &amp; 2: 6 Oct 2006;</w:t>
            </w:r>
          </w:p>
          <w:p>
            <w:pPr>
              <w:pStyle w:val="Table01Row"/>
            </w:pPr>
            <w:r>
              <w:rPr/>
              <w:t xml:space="preserve">Act other than s. 1 &amp; 2: 25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Swan and Canning Rivers (Consequential and Transitional Provisions) Act 2006</vt:lpwstr>
  </property>
  <property pid="3" name="IDAct" fmtid="{D5CDD505-2E9C-101B-9397-08002B2CF9AE}">
    <vt:lpwstr>146582</vt:lpwstr>
  </property>
  <property pid="4" name="ChangedDate" fmtid="{D5CDD505-2E9C-101B-9397-08002B2CF9AE}">
    <vt:lpwstr>20230129090436</vt:lpwstr>
  </property>
</Properties>
</file>