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and Found Property Disposal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and Found Property Disposal Act 2006</w:t>
            </w:r>
          </w:p>
        </w:tc>
        <w:tc>
          <w:p>
            <w:pPr>
              <w:pStyle w:val="Table01Row"/>
            </w:pPr>
            <w:r>
              <w:t>2006/057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s. 1 &amp; 2: 16 Nov 2006;</w:t>
            </w:r>
          </w:p>
          <w:p>
            <w:pPr>
              <w:pStyle w:val="Table01Row"/>
            </w:pPr>
            <w:r>
              <w:rPr/>
              <w:t xml:space="preserve">Act other than s. 1 &amp; 2: 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4 (s. 36‑39)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4 other than s. 37‑39: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37‑39: 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and Found Property Disposal Act 2006</vt:lpwstr>
  </property>
  <property pid="3" name="IDAct" fmtid="{D5CDD505-2E9C-101B-9397-08002B2CF9AE}">
    <vt:lpwstr>146587</vt:lpwstr>
  </property>
  <property pid="4" name="ChangedDate" fmtid="{D5CDD505-2E9C-101B-9397-08002B2CF9AE}">
    <vt:lpwstr>20230129083134</vt:lpwstr>
  </property>
</Properties>
</file>