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Investigation Act 2006</w:t>
      </w:r>
    </w:p>
    <w:p>
      <w:pPr>
        <w:pStyle w:val="Table01Note"/>
      </w:pPr>
      <w:r>
        <w:rPr/>
        <w:t xml:space="preserve">Note: In order to give effect to the Cross‑border Justice Act 2008, the Criminal Investigation Act 2006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Act 2006</w:t>
            </w:r>
          </w:p>
        </w:tc>
        <w:tc>
          <w:p>
            <w:pPr>
              <w:pStyle w:val="Table01Row"/>
            </w:pPr>
            <w:r>
              <w:t>2006/058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s. 1 &amp; 2: 16 Nov 2006;</w:t>
            </w:r>
          </w:p>
          <w:p>
            <w:pPr>
              <w:pStyle w:val="Table01Row"/>
            </w:pPr>
            <w:r>
              <w:rPr/>
              <w:t xml:space="preserve">Act other than s. 1, 2 &amp; 113: 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2837);</w:t>
            </w:r>
          </w:p>
          <w:p>
            <w:pPr>
              <w:pStyle w:val="Table01Row"/>
            </w:pPr>
            <w:r>
              <w:rPr/>
              <w:t xml:space="preserve">s. 113: 26 Jul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2008 p. 3391)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8 (s. 35‑39)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39: 26 Jul 2008 (see s. 2(c)(i)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2008 p. 3391);</w:t>
            </w:r>
          </w:p>
          <w:p>
            <w:pPr>
              <w:pStyle w:val="Table01Row"/>
            </w:pPr>
            <w:r>
              <w:rPr/>
              <w:t xml:space="preserve">s. 35‑38: 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16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17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  <w: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t>2010/059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23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Feb 2011 p. 633)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Jan 2011 (not including 2010/059)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Amendment Act 2011</w:t>
            </w:r>
          </w:p>
        </w:tc>
        <w:tc>
          <w:p>
            <w:pPr>
              <w:pStyle w:val="Table01Row"/>
            </w:pPr>
            <w:r>
              <w:t>2011/011</w:t>
            </w:r>
          </w:p>
        </w:tc>
        <w:tc>
          <w:p>
            <w:pPr>
              <w:pStyle w:val="Table01Row"/>
            </w:pPr>
            <w:r>
              <w:t>2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 May 2011 (see s. 2(a));</w:t>
            </w:r>
          </w:p>
          <w:p>
            <w:pPr>
              <w:pStyle w:val="Table01Row"/>
            </w:pPr>
            <w:r>
              <w:rPr/>
              <w:t xml:space="preserve">Act other than s. 1 &amp; 2: 3 May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2011/032</w:t>
            </w:r>
          </w:p>
        </w:tc>
        <w:tc>
          <w:p>
            <w:pPr>
              <w:pStyle w:val="Table01Row"/>
            </w:pPr>
            <w:r>
              <w:t>12 Sep 2011</w:t>
            </w:r>
          </w:p>
        </w:tc>
        <w:tc>
          <w:p>
            <w:pPr>
              <w:pStyle w:val="Table01Row"/>
            </w:pPr>
            <w:r>
              <w:rPr/>
              <w:t xml:space="preserve">5 May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2012 p. 1847)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14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(Out‑of‑Control Gatherings)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2012/056</w:t>
            </w:r>
          </w:p>
        </w:tc>
        <w:tc>
          <w:p>
            <w:pPr>
              <w:pStyle w:val="Table01Row"/>
            </w:pPr>
            <w:r>
              <w:t>6 Dec 2012</w:t>
            </w:r>
          </w:p>
        </w:tc>
        <w:tc>
          <w:p>
            <w:pPr>
              <w:pStyle w:val="Table01Row"/>
            </w:pPr>
            <w:r>
              <w:rPr/>
              <w:t xml:space="preserve">15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Apr 2013 (not including 2012/008 &amp; 2012/049)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Amendment Act 2013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2013/022</w:t>
            </w:r>
          </w:p>
        </w:tc>
        <w:tc>
          <w:p>
            <w:pPr>
              <w:pStyle w:val="Table01Row"/>
            </w:pPr>
            <w:r>
              <w:t>12 Nov 2013</w:t>
            </w:r>
          </w:p>
        </w:tc>
        <w:tc>
          <w:p>
            <w:pPr>
              <w:pStyle w:val="Table01Row"/>
            </w:pPr>
            <w:r>
              <w:rPr/>
              <w:t xml:space="preserve">13 Nov 2013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8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s. 51 &amp; 52(2): 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4632);</w:t>
            </w:r>
          </w:p>
          <w:p>
            <w:pPr>
              <w:pStyle w:val="Table01Row"/>
            </w:pPr>
            <w:r>
              <w:rPr/>
              <w:t xml:space="preserve">s. 52(1):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Amendment Act 2014</w:t>
            </w:r>
          </w:p>
        </w:tc>
        <w:tc>
          <w:p>
            <w:pPr>
              <w:pStyle w:val="Table01Row"/>
            </w:pPr>
            <w:r>
              <w:t>2014/031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2014 (see s. 2(a));</w:t>
            </w:r>
          </w:p>
          <w:p>
            <w:pPr>
              <w:pStyle w:val="Table01Row"/>
            </w:pPr>
            <w:r>
              <w:rPr/>
              <w:t xml:space="preserve">Act other than s. 1 &amp; 2: 28 Jan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2015 p. 435)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Sep 2015 (not including 2014/025)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108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2020/027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2(1)(b) and SL 2021/54 cl.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Amendment (Validation) Act 2023</w:t>
            </w:r>
          </w:p>
        </w:tc>
        <w:tc>
          <w:p>
            <w:pPr>
              <w:pStyle w:val="Table01Row"/>
            </w:pPr>
            <w:r>
              <w:t>2023/008</w:t>
            </w:r>
          </w:p>
        </w:tc>
        <w:tc>
          <w:p>
            <w:pPr>
              <w:pStyle w:val="Table01Row"/>
            </w:pPr>
            <w:r>
              <w:t>29 Mar 2023</w:t>
            </w:r>
          </w:p>
        </w:tc>
        <w:tc>
          <w:p>
            <w:pPr>
              <w:pStyle w:val="Table01Row"/>
            </w:pPr>
            <w:r>
              <w:rPr/>
              <w:t xml:space="preserve">Act other than s. 4: 29 Mar 2023 (see s. 2(1)); </w:t>
            </w:r>
          </w:p>
          <w:p>
            <w:pPr>
              <w:pStyle w:val="Table01Row"/>
            </w:pPr>
            <w:r>
              <w:rPr/>
              <w:t xml:space="preserve">s. 4: 30 Mar 2023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Investigation Act 2006</vt:lpwstr>
  </property>
  <property pid="3" name="IDAct" fmtid="{D5CDD505-2E9C-101B-9397-08002B2CF9AE}">
    <vt:lpwstr>146588</vt:lpwstr>
  </property>
  <property pid="4" name="ChangedDate" fmtid="{D5CDD505-2E9C-101B-9397-08002B2CF9AE}">
    <vt:lpwstr>20230129083134</vt:lpwstr>
  </property>
</Properties>
</file>