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Land Information Authority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Pt. 1: 17 Nov 2006 (see s. 2(2));</w:t>
            </w:r>
          </w:p>
          <w:p>
            <w:pPr>
              <w:pStyle w:val="Table01Row"/>
            </w:pPr>
            <w:r>
              <w:rPr/>
              <w:t xml:space="preserve">Act other than Pt. 1: 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94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2015/011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Sep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10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11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Land Information Authority Act 2006</vt:lpwstr>
  </property>
  <property pid="3" name="IDAct" fmtid="{D5CDD505-2E9C-101B-9397-08002B2CF9AE}">
    <vt:lpwstr>146590</vt:lpwstr>
  </property>
  <property pid="4" name="ChangedDate" fmtid="{D5CDD505-2E9C-101B-9397-08002B2CF9AE}">
    <vt:lpwstr>20230127165751</vt:lpwstr>
  </property>
</Properties>
</file>