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Biosecurity and Agriculture Management (Repeal and Consequential Provisions) Act 2007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</w:p>
        </w:tc>
        <w:tc>
          <w:p>
            <w:pPr>
              <w:pStyle w:val="Table01Row"/>
            </w:pPr>
            <w:r>
              <w:t>2007/024</w:t>
            </w:r>
          </w:p>
        </w:tc>
        <w:tc>
          <w:p>
            <w:pPr>
              <w:pStyle w:val="Table01Row"/>
            </w:pPr>
            <w:r>
              <w:t>12 Oct 2007</w:t>
            </w:r>
          </w:p>
        </w:tc>
        <w:tc>
          <w:p>
            <w:pPr>
              <w:pStyle w:val="Table01Row"/>
            </w:pPr>
            <w:r>
              <w:rPr/>
              <w:t xml:space="preserve">s. 1 &amp; 2: 12 Oct 2007;</w:t>
            </w:r>
          </w:p>
          <w:p>
            <w:pPr>
              <w:pStyle w:val="Table01Row"/>
            </w:pPr>
            <w:r>
              <w:rPr/>
              <w:t xml:space="preserve">Pt. 1 (other than s. 1 &amp; 2), Pt. 2 Div. 1 &amp; 2 &amp; s. 85(4): 24 Oct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23 Oct 2007 p. 5645);</w:t>
            </w:r>
          </w:p>
          <w:p>
            <w:pPr>
              <w:pStyle w:val="Table01Row"/>
            </w:pPr>
            <w:r>
              <w:rPr/>
              <w:t xml:space="preserve">Pt. 2 Div. 9: 21 Feb 2009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20 Feb 2009 p. 353);</w:t>
            </w:r>
          </w:p>
          <w:p>
            <w:pPr>
              <w:pStyle w:val="Table01Row"/>
            </w:pPr>
            <w:r>
              <w:rPr/>
              <w:t xml:space="preserve">Pt. 2 Div. 11 &amp; 14: 14 Aug 2010 (see s. 2(1), (4) &amp; (5) and </w:t>
            </w:r>
            <w:r>
              <w:rPr>
                <w:i/>
              </w:rPr>
              <w:t xml:space="preserve">Gazette</w:t>
            </w:r>
            <w:r>
              <w:rPr/>
              <w:t xml:space="preserve"> 13 Aug 2010 p. 4021 &amp; Notices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13 Aug 2010 p. 4028);</w:t>
            </w:r>
          </w:p>
          <w:p>
            <w:pPr>
              <w:pStyle w:val="Table01Row"/>
            </w:pPr>
            <w:r>
              <w:rPr/>
              <w:t xml:space="preserve">s. 32, 33, 37, 38 &amp; 92 deleted 11 Dec 2010 (see 2010/046 and </w:t>
            </w:r>
            <w:r>
              <w:rPr>
                <w:i/>
              </w:rPr>
              <w:t xml:space="preserve">Gazette</w:t>
            </w:r>
            <w:r>
              <w:rPr/>
              <w:t xml:space="preserve"> 10 Dec 2010 p. 6261);</w:t>
            </w:r>
          </w:p>
          <w:p>
            <w:pPr>
              <w:pStyle w:val="Table01Row"/>
            </w:pPr>
            <w:r>
              <w:rPr/>
              <w:t xml:space="preserve">Pt. 2 Div. 7: 18 Dec 2010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17 Dec 2010 p. 6349);</w:t>
            </w:r>
          </w:p>
          <w:p>
            <w:pPr>
              <w:pStyle w:val="Table01Row"/>
            </w:pPr>
            <w:r>
              <w:rPr/>
              <w:t xml:space="preserve">s. 27 &amp; Pt. 2 Div. 6 Subdiv. 2: 23 Nov 2011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Nov 2011 p. 4843);</w:t>
            </w:r>
          </w:p>
          <w:p>
            <w:pPr>
              <w:pStyle w:val="Table01Row"/>
            </w:pPr>
            <w:r>
              <w:rPr/>
              <w:t xml:space="preserve">Pt. 2 Div. 4‑5, s. 28, 29 &amp; 30A, Pt. 2 Div. 8, 10, 12‑13 &amp; 15‑17, s. 84, 86‑88, 90‑91 &amp; 93‑95: 1 May 2013 (see s. 2(2), (4) &amp; (5) and </w:t>
            </w:r>
            <w:r>
              <w:rPr>
                <w:i/>
              </w:rPr>
              <w:t xml:space="preserve">Gazette</w:t>
            </w:r>
            <w:r>
              <w:rPr/>
              <w:t xml:space="preserve"> 5 Feb 2013 p. 823);</w:t>
            </w:r>
          </w:p>
          <w:p>
            <w:pPr>
              <w:pStyle w:val="Table01Row"/>
            </w:pPr>
            <w:r>
              <w:rPr/>
              <w:t xml:space="preserve">s. 78 and 85(1)‑(3) will not come into operation because the Act it purports to amend was repealed by 2007/024 s. 53;</w:t>
            </w:r>
          </w:p>
          <w:p>
            <w:pPr>
              <w:pStyle w:val="Table01Row"/>
            </w:pPr>
            <w:r>
              <w:rPr/>
              <w:t xml:space="preserve">s. 83 will not come into operation because the Act it purports to amend expired (see expiry proclamation in </w:t>
            </w:r>
            <w:r>
              <w:rPr>
                <w:i/>
              </w:rPr>
              <w:t xml:space="preserve">Gazette</w:t>
            </w:r>
            <w:r>
              <w:rPr/>
              <w:t xml:space="preserve"> 21 Oct 2016 p. 4781);</w:t>
            </w:r>
          </w:p>
          <w:p>
            <w:pPr>
              <w:pStyle w:val="Table01Row"/>
            </w:pPr>
            <w:r>
              <w:rPr/>
              <w:t xml:space="preserve">Pt. 2 Div. 3: 29 Dec 2018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Dec 2018 p. 4879);</w:t>
            </w:r>
          </w:p>
          <w:p>
            <w:pPr>
              <w:pStyle w:val="Table01Row"/>
            </w:pPr>
            <w:r>
              <w:rPr/>
              <w:t xml:space="preserve">Pt. 2 Div. 18 &amp; s. 89: to be proclaimed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Agriculture and Related Resources Protection Amendment Act 2010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2010/046</w:t>
            </w:r>
          </w:p>
        </w:tc>
        <w:tc>
          <w:p>
            <w:pPr>
              <w:pStyle w:val="Table01Row"/>
            </w:pPr>
            <w:r>
              <w:t>28 Oct 2010</w:t>
            </w:r>
          </w:p>
        </w:tc>
        <w:tc>
          <w:p>
            <w:pPr>
              <w:pStyle w:val="Table01Row"/>
            </w:pPr>
            <w:r>
              <w:rPr/>
              <w:t xml:space="preserve">11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Dec 2010 p. 6261)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</w:t>
              <w:t>s. 192</w:t>
            </w:r>
          </w:p>
        </w:tc>
        <w:tc>
          <w:p>
            <w:pPr>
              <w:pStyle w:val="Table01Row"/>
            </w:pPr>
            <w:r>
              <w:t>2010/058</w:t>
            </w:r>
          </w:p>
        </w:tc>
        <w:tc>
          <w:p>
            <w:pPr>
              <w:pStyle w:val="Table01Row"/>
            </w:pPr>
            <w:r>
              <w:t>8 Dec 2010</w:t>
            </w:r>
          </w:p>
        </w:tc>
        <w:tc>
          <w:p>
            <w:pPr>
              <w:pStyle w:val="Table01Row"/>
            </w:pPr>
            <w:r>
              <w:rPr/>
              <w:t xml:space="preserve">1 Jan 2011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2010 p. 6805)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</w:t>
              <w:t>s. 363</w:t>
            </w:r>
          </w:p>
        </w:tc>
        <w:tc>
          <w:p>
            <w:pPr>
              <w:pStyle w:val="Table01Row"/>
            </w:pPr>
            <w:r>
              <w:t>2016/053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Biosecurity and Agriculture Management (Repeal and Consequential Provisions) Act 2007</vt:lpwstr>
  </property>
  <property pid="3" name="IDAct" fmtid="{D5CDD505-2E9C-101B-9397-08002B2CF9AE}">
    <vt:lpwstr>146630</vt:lpwstr>
  </property>
  <property pid="4" name="ChangedDate" fmtid="{D5CDD505-2E9C-101B-9397-08002B2CF9AE}">
    <vt:lpwstr>20230127165851</vt:lpwstr>
  </property>
</Properties>
</file>