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Biosecurity and Agriculture Management Rates and Charges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Rates and Charges Act 2007</w:t>
            </w:r>
          </w:p>
        </w:tc>
        <w:tc>
          <w:p>
            <w:pPr>
              <w:pStyle w:val="Table01Row"/>
            </w:pPr>
            <w:r>
              <w:t>2007/021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22 May 2010 (see s. 2 &amp; </w:t>
            </w:r>
            <w:r>
              <w:rPr>
                <w:i/>
              </w:rPr>
              <w:t xml:space="preserve">Gazette</w:t>
            </w:r>
            <w:r>
              <w:rPr/>
              <w:t xml:space="preserve"> 21 May 2010 p. 2177)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Biosecurity and Agriculture Management Rates and Charges Act 2007</vt:lpwstr>
  </property>
  <property pid="3" name="IDAct" fmtid="{D5CDD505-2E9C-101B-9397-08002B2CF9AE}">
    <vt:lpwstr>146631</vt:lpwstr>
  </property>
  <property pid="4" name="ChangedDate" fmtid="{D5CDD505-2E9C-101B-9397-08002B2CF9AE}">
    <vt:lpwstr>20230127165851</vt:lpwstr>
  </property>
</Properties>
</file>