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Water Resources Legislation Amendment Act 2007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Pt. 1 &amp; 11: 21 Dec 2007 (see s. 2(1));</w:t>
            </w:r>
          </w:p>
          <w:p>
            <w:pPr>
              <w:pStyle w:val="Table01Row"/>
            </w:pPr>
            <w:r>
              <w:rPr/>
              <w:t xml:space="preserve">Pt. 2‑10: 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Jul 2008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Water Resources Legislation Amendment Act 2007</vt:lpwstr>
  </property>
  <property pid="3" name="IDAct" fmtid="{D5CDD505-2E9C-101B-9397-08002B2CF9AE}">
    <vt:lpwstr>146645</vt:lpwstr>
  </property>
  <property pid="4" name="ChangedDate" fmtid="{D5CDD505-2E9C-101B-9397-08002B2CF9AE}">
    <vt:lpwstr>20230129084805</vt:lpwstr>
  </property>
</Properties>
</file>