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N</w:t>
      </w:r>
    </w:p>
    <w:p>
      <w:pPr>
        <w:pStyle w:val="IActName"/>
      </w:pPr>
      <w:r>
        <w:t>Nickel Refinery (BHP Billiton Nickel West Pty Ltd) (Termination of Agreements) Agreement Act 2008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Nickel Refinery (BHP Billiton Nickel West Pty Ltd) (Termination of Agreements) Agreement Act 2008</w:t>
            </w:r>
          </w:p>
        </w:tc>
        <w:tc>
          <w:p>
            <w:pPr>
              <w:pStyle w:val="Table01Row"/>
            </w:pPr>
            <w:r>
              <w:t>2008/036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s. 1 &amp; 2: 27 Jun 2008 (see s. 2(a));</w:t>
            </w:r>
          </w:p>
          <w:p>
            <w:pPr>
              <w:pStyle w:val="Table01Row"/>
            </w:pPr>
            <w:r>
              <w:rPr/>
              <w:t xml:space="preserve">Act other than s. 1 &amp; 2: 28 Jun 2008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Agreements Legislation Repeal Act 2013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2013/001</w:t>
            </w:r>
          </w:p>
        </w:tc>
        <w:tc>
          <w:p>
            <w:pPr>
              <w:pStyle w:val="Table01Row"/>
            </w:pPr>
            <w:r>
              <w:t>20 Jun 2013</w:t>
            </w:r>
          </w:p>
        </w:tc>
        <w:tc>
          <w:p>
            <w:pPr>
              <w:pStyle w:val="Table01Row"/>
            </w:pPr>
            <w:r>
              <w:rPr/>
              <w:t xml:space="preserve">28 Aug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Aug 2013 p. 4051)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Nickel Refinery (BHP Billiton Nickel West Pty Ltd) (Termination of Agreements) Agreement Act 2008</vt:lpwstr>
  </property>
  <property pid="3" name="IDAct" fmtid="{D5CDD505-2E9C-101B-9397-08002B2CF9AE}">
    <vt:lpwstr>146676</vt:lpwstr>
  </property>
  <property pid="4" name="ChangedDate" fmtid="{D5CDD505-2E9C-101B-9397-08002B2CF9AE}">
    <vt:lpwstr>20230609154944</vt:lpwstr>
  </property>
</Properties>
</file>