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Traffic (Administration)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(Administration) Act 2008</w:t>
            </w:r>
          </w:p>
        </w:tc>
        <w:tc>
          <w:p>
            <w:pPr>
              <w:pStyle w:val="Table01Row"/>
            </w:pPr>
            <w:r>
              <w:t>2008/039</w:t>
            </w:r>
          </w:p>
        </w:tc>
        <w:tc>
          <w:p>
            <w:pPr>
              <w:pStyle w:val="Table01Row"/>
            </w:pPr>
            <w:r>
              <w:t>15 Aug 2008</w:t>
            </w:r>
          </w:p>
        </w:tc>
        <w:tc>
          <w:p>
            <w:pPr>
              <w:pStyle w:val="Table01Row"/>
            </w:pPr>
            <w:r>
              <w:rPr/>
              <w:t xml:space="preserve">s. 1 &amp; 2: 15 Aug 2008 (see s. 2(a));</w:t>
            </w:r>
          </w:p>
          <w:p>
            <w:pPr>
              <w:pStyle w:val="Table01Row"/>
            </w:pPr>
            <w:r>
              <w:rPr/>
              <w:t xml:space="preserve">Act other than s. 1 &amp; 2: 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2009/039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2010/051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Trade Measurement Legislation (Amendment and Expiry) Act 2010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2010/054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8 Dec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2011/014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s 30 Aug 2011 p. 3503 &amp;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2011/018</w:t>
            </w:r>
          </w:p>
        </w:tc>
        <w:tc>
          <w:p>
            <w:pPr>
              <w:pStyle w:val="Table01Row"/>
            </w:pPr>
            <w:r>
              <w:t>2 Jun 2011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s 29 Jun 2011 p. 2611 &amp;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2012/008 (as amended by 2015/010 s. 19)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Pt. 5 (s. 208(1), 210, 211, 212 &amp; 224): 27 Apr 2015 (see s. 2(e) and </w:t>
            </w:r>
            <w:r>
              <w:rPr>
                <w:i/>
              </w:rPr>
              <w:t xml:space="preserve">Gazette</w:t>
            </w:r>
            <w:r>
              <w:rPr/>
              <w:t xml:space="preserve">s 29 Jun 2011 p. 2611 &amp; 17 Apr 2015 p. 1371);</w:t>
            </w:r>
          </w:p>
          <w:p>
            <w:pPr>
              <w:pStyle w:val="Table01Row"/>
            </w:pPr>
            <w:r>
              <w:rPr/>
              <w:t xml:space="preserve">Pt. 5 (other than s. 208(1), 210, 211, 212 &amp; 224): 27 Apr 2015 (see s. 2(f)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2012/059</w:t>
            </w:r>
          </w:p>
        </w:tc>
        <w:tc>
          <w:p>
            <w:pPr>
              <w:pStyle w:val="Table01Row"/>
            </w:pPr>
            <w:r>
              <w:t>11 Dec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2(c)(ii)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2015/002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24 Oct 2016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2016 p. 3965)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2015/010</w:t>
            </w:r>
          </w:p>
        </w:tc>
        <w:tc>
          <w:p>
            <w:pPr>
              <w:pStyle w:val="Table01Row"/>
            </w:pPr>
            <w:r>
              <w:t>1 Apr 2015</w:t>
            </w:r>
          </w:p>
        </w:tc>
        <w:tc>
          <w:p>
            <w:pPr>
              <w:pStyle w:val="Table01Row"/>
            </w:pPr>
            <w:r>
              <w:rPr/>
              <w:t xml:space="preserve">2 Apr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May 2015 (not including 2015/002)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</w:t>
              <w:t>Pt. 2 Div. 2 &amp; Pt. 3 Div. 3 Subdiv. 2 &amp; Div. 4 Subdiv. 2</w:t>
            </w:r>
          </w:p>
        </w:tc>
        <w:tc>
          <w:p>
            <w:pPr>
              <w:pStyle w:val="Table01Row"/>
            </w:pPr>
            <w:r>
              <w:t>2016/025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Pt. 2 Div. 2: 22 Sep 2016 (see s. 2(b));</w:t>
            </w:r>
          </w:p>
          <w:p>
            <w:pPr>
              <w:pStyle w:val="Table01Row"/>
            </w:pPr>
            <w:r>
              <w:rPr/>
              <w:t xml:space="preserve">Pt. 3 Div. 3 Subdiv. 2: 28 Nov 2016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2016 p. 5279);</w:t>
            </w:r>
          </w:p>
          <w:p>
            <w:pPr>
              <w:pStyle w:val="Table01Row"/>
            </w:pPr>
            <w:r>
              <w:rPr/>
              <w:t xml:space="preserve">Pt. 3 Div. 4 Subdiv. 2: 6 Sep 2017 (see s. 2(c) &amp; </w:t>
            </w:r>
            <w:r>
              <w:rPr>
                <w:i/>
              </w:rPr>
              <w:t xml:space="preserve">Gazette</w:t>
            </w:r>
            <w:r>
              <w:rPr/>
              <w:t xml:space="preserve"> 22 Aug 2017 p. 4501)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31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4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28 Feb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Dec 2018 (not including 2018/026)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1 Jan 2021 (see s. 2(1)(c) and SL 2020/125 cl. 2(c)(iv))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2020/038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14 Dec 2020 (see s. 2(1)(b) and SL 2020/229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2022/008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15 Apr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Traffic (Administration) Act 2008</vt:lpwstr>
  </property>
  <property pid="3" name="IDAct" fmtid="{D5CDD505-2E9C-101B-9397-08002B2CF9AE}">
    <vt:lpwstr>146690</vt:lpwstr>
  </property>
  <property pid="4" name="ChangedDate" fmtid="{D5CDD505-2E9C-101B-9397-08002B2CF9AE}">
    <vt:lpwstr>20230613134304</vt:lpwstr>
  </property>
</Properties>
</file>