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(Authorisation to Drive)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(Authorisation to Drive) Act 2008</w:t>
            </w:r>
          </w:p>
        </w:tc>
        <w:tc>
          <w:p>
            <w:pPr>
              <w:pStyle w:val="Table01Row"/>
            </w:pPr>
            <w:r>
              <w:t>2008/040</w:t>
            </w:r>
          </w:p>
        </w:tc>
        <w:tc>
          <w:p>
            <w:pPr>
              <w:pStyle w:val="Table01Row"/>
            </w:pPr>
            <w:r>
              <w:t>15 Aug 2008</w:t>
            </w:r>
          </w:p>
        </w:tc>
        <w:tc>
          <w:p>
            <w:pPr>
              <w:pStyle w:val="Table01Row"/>
            </w:pPr>
            <w:r>
              <w:rPr/>
              <w:t xml:space="preserve">s. 1 &amp; 2: 15 Aug 2008 (see s. 2(a));</w:t>
            </w:r>
          </w:p>
          <w:p>
            <w:pPr>
              <w:pStyle w:val="Table01Row"/>
            </w:pPr>
            <w:r>
              <w:rPr/>
              <w:t xml:space="preserve">Act other than s. 1 &amp; 2:  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2010/051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2011/018</w:t>
            </w:r>
          </w:p>
        </w:tc>
        <w:tc>
          <w:p>
            <w:pPr>
              <w:pStyle w:val="Table01Row"/>
            </w:pPr>
            <w:r>
              <w:t>2 Jun 2011</w:t>
            </w:r>
          </w:p>
        </w:tc>
        <w:tc>
          <w:p>
            <w:pPr>
              <w:pStyle w:val="Table01Row"/>
            </w:pPr>
            <w:r>
              <w:rPr/>
              <w:t xml:space="preserve">s. 25: 14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Jan 2013 p. 3);</w:t>
            </w:r>
          </w:p>
          <w:p>
            <w:pPr>
              <w:pStyle w:val="Table01Row"/>
            </w:pPr>
            <w:r>
              <w:rPr/>
              <w:t xml:space="preserve">Pt. 4 other than s. 25: 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2011 p. 2611 &amp;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2(f)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</w:t>
              <w:t>Pt. 10 Div. 2</w:t>
            </w:r>
          </w:p>
        </w:tc>
        <w:tc>
          <w:p>
            <w:pPr>
              <w:pStyle w:val="Table01Row"/>
            </w:pPr>
            <w:r>
              <w:t>2014/018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2015/002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24 Oct 2016 (see s.2(1)(b)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2016 p. 3965)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2015/010</w:t>
            </w:r>
          </w:p>
        </w:tc>
        <w:tc>
          <w:p>
            <w:pPr>
              <w:pStyle w:val="Table01Row"/>
            </w:pPr>
            <w:r>
              <w:t>1 Apr 2015</w:t>
            </w:r>
          </w:p>
        </w:tc>
        <w:tc>
          <w:p>
            <w:pPr>
              <w:pStyle w:val="Table01Row"/>
            </w:pPr>
            <w:r>
              <w:rPr/>
              <w:t xml:space="preserve">2 Apr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Jul 2015 (not including 2014/018 &amp; 2015/002)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2016/025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22 Sep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2018/019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17 Nov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2018 p. 4523)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5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28 Feb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2(1)(b) and SL 2021/54 cl.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2022/008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15 Apr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(Authorisation to Drive) Act 2008</vt:lpwstr>
  </property>
  <property pid="3" name="IDAct" fmtid="{D5CDD505-2E9C-101B-9397-08002B2CF9AE}">
    <vt:lpwstr>146691</vt:lpwstr>
  </property>
  <property pid="4" name="ChangedDate" fmtid="{D5CDD505-2E9C-101B-9397-08002B2CF9AE}">
    <vt:lpwstr>20230613134304</vt:lpwstr>
  </property>
</Properties>
</file>