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Road Traffic (Vehicles) (Taxing) Act 2008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(Vehicles) (Taxing) Act 2008</w:t>
            </w:r>
          </w:p>
        </w:tc>
        <w:tc>
          <w:p>
            <w:pPr>
              <w:pStyle w:val="Table01Row"/>
            </w:pPr>
            <w:r>
              <w:t>2008/041</w:t>
            </w:r>
          </w:p>
        </w:tc>
        <w:tc>
          <w:p>
            <w:pPr>
              <w:pStyle w:val="Table01Row"/>
            </w:pPr>
            <w:r>
              <w:t>15 Aug 2008</w:t>
            </w:r>
          </w:p>
        </w:tc>
        <w:tc>
          <w:p>
            <w:pPr>
              <w:pStyle w:val="Table01Row"/>
            </w:pPr>
            <w:r>
              <w:rPr/>
              <w:t xml:space="preserve">s. 1 &amp; 2: 15 Aug 2008 (see s. 2(a));</w:t>
            </w:r>
          </w:p>
          <w:p>
            <w:pPr>
              <w:pStyle w:val="Table01Row"/>
            </w:pPr>
            <w:r>
              <w:rPr/>
              <w:t xml:space="preserve">s. 3: 27 Apr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2(f)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Road Traffic (Vehicles) (Taxing) Act 2008</vt:lpwstr>
  </property>
  <property pid="3" name="IDAct" fmtid="{D5CDD505-2E9C-101B-9397-08002B2CF9AE}">
    <vt:lpwstr>146692</vt:lpwstr>
  </property>
  <property pid="4" name="ChangedDate" fmtid="{D5CDD505-2E9C-101B-9397-08002B2CF9AE}">
    <vt:lpwstr>20230613134304</vt:lpwstr>
  </property>
</Properties>
</file>