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pStyle w:val="IAlphabetDivider"/>
      </w:pPr>
      <w:r>
        <w:t>N</w:t>
      </w:r>
    </w:p>
    <w:p>
      <w:pPr>
        <w:pStyle w:val="IActName"/>
      </w:pPr>
      <w:r>
        <w:t>National Gas Access (WA) Act 2009</w:t>
      </w:r>
    </w:p>
    <w:tbl>
      <w:tblPr>
        <w:tblW w:w="0" w:type="auto"/>
        <w:tblLayout w:type="fixed"/>
        <w:jc w:val="center"/>
        <w:tblCellMar>
          <w:left w:w="0" w:type="dxa"/>
          <w:right w:w="0" w:type="dxa"/>
        </w:tblCellMar>
        <w:tblLook w:val="0000" w:firstRow="0" w:lastRow="0" w:firstColumn="0" w:lastColumn="0" w:noHBand="0" w:noVBand="0"/>
      </w:tblPr>
      <w:tblGrid>
        <w:gridCol w:w="1134"/>
        <w:gridCol w:w="8505"/>
      </w:tblGrid>
      <w:tr>
        <w:trPr>
          <w:cantSplit/>
        </w:trPr>
        <w:tc>
          <w:p>
            <w:pPr>
              <w:pStyle w:val="Table01Row"/>
              <w:keepNext/>
            </w:pPr>
            <w:r>
              <w:rPr>
                <w:b/>
              </w:rPr>
              <w:t>Portfolio:</w:t>
            </w:r>
          </w:p>
        </w:tc>
        <w:tc>
          <w:p>
            <w:pPr>
              <w:pStyle w:val="Table01Row"/>
              <w:keepNext/>
            </w:pPr>
            <w:r>
              <w:t>Minister for Energy</w:t>
            </w:r>
          </w:p>
        </w:tc>
      </w:tr>
      <w:tr>
        <w:trPr>
          <w:cantSplit/>
        </w:trPr>
        <w:tc>
          <w:p>
            <w:pPr>
              <w:pStyle w:val="Table01Row"/>
              <w:keepNext/>
            </w:pPr>
            <w:r>
              <w:rPr>
                <w:b/>
              </w:rPr>
              <w:t>Agency:</w:t>
            </w:r>
          </w:p>
        </w:tc>
        <w:tc>
          <w:p>
            <w:pPr>
              <w:pStyle w:val="Table01Row"/>
              <w:keepNext/>
            </w:pPr>
            <w:r>
              <w:t>Energy Policy WA</w:t>
            </w:r>
          </w:p>
        </w:tc>
      </w:tr>
    </w:tbl>
    <w:p>
      <w:pPr>
        <w:keepNext/>
      </w:pPr>
    </w:p>
    <w:tbl>
      <w:tblPr>
        <w:tblW w:w="0" w:type="auto"/>
        <w:tblLayout w:type="fixed"/>
        <w:jc w:val="center"/>
        <w:tblCellMar>
          <w:left w:w="80" w:type="dxa"/>
          <w:right w:w="80" w:type="dxa"/>
        </w:tblCellMar>
        <w:tblLook w:val="0000" w:firstRow="0" w:lastRow="0" w:firstColumn="0" w:lastColumn="0" w:noHBand="0" w:noVBand="0"/>
      </w:tblPr>
      <w:tblGrid>
        <w:gridCol w:w="4253"/>
        <w:gridCol w:w="1134"/>
        <w:gridCol w:w="1134"/>
        <w:gridCol w:w="3686"/>
      </w:tblGrid>
      <w:tr>
        <w:trPr>
          <w:cantSplit/>
        </w:trPr>
        <w:tc>
          <w:p>
            <w:pPr>
              <w:pStyle w:val="Table01Row"/>
            </w:pPr>
            <w:r>
              <w:rPr>
                <w:i/>
              </w:rPr>
              <w:t>National Gas Access (WA) Act 2009</w:t>
            </w:r>
          </w:p>
        </w:tc>
        <w:tc>
          <w:p>
            <w:pPr>
              <w:pStyle w:val="Table01Row"/>
            </w:pPr>
            <w:r>
              <w:t>2009/016</w:t>
            </w:r>
          </w:p>
        </w:tc>
        <w:tc>
          <w:p>
            <w:pPr>
              <w:pStyle w:val="Table01Row"/>
            </w:pPr>
            <w:r>
              <w:t>1 Sep 2009</w:t>
            </w:r>
          </w:p>
        </w:tc>
        <w:tc>
          <w:p>
            <w:pPr>
              <w:pStyle w:val="Table01Row"/>
            </w:pPr>
            <w:r>
              <w:rPr/>
              <w:t xml:space="preserve">s. 1 &amp; 2: 1 Sep 2009 (see s. 2(a));</w:t>
            </w:r>
          </w:p>
          <w:p>
            <w:pPr>
              <w:pStyle w:val="Table01Row"/>
            </w:pPr>
            <w:r>
              <w:rPr/>
              <w:t xml:space="preserve">Act other than s. 1 &amp; 2: 1 Jan 2010 (see s. 2(b) and </w:t>
            </w:r>
            <w:r>
              <w:rPr>
                <w:i/>
              </w:rPr>
              <w:t xml:space="preserve">Gazette</w:t>
            </w:r>
            <w:r>
              <w:rPr/>
              <w:t xml:space="preserve"> 31 Dec 2009 p. 5327)</w:t>
            </w:r>
          </w:p>
        </w:tc>
      </w:tr>
      <w:tr>
        <w:trPr>
          <w:cantSplit/>
        </w:trPr>
        <w:tc>
          <w:p>
            <w:pPr>
              <w:pStyle w:val="Table01Row"/>
            </w:pPr>
            <w:r>
              <w:rPr>
                <w:i/>
              </w:rPr>
              <w:t>Petroleum and Energy Legislation Amendment Act 2010</w:t>
            </w:r>
            <w:r>
              <w:t xml:space="preserve"> </w:t>
              <w:t>s. 184</w:t>
            </w:r>
          </w:p>
        </w:tc>
        <w:tc>
          <w:p>
            <w:pPr>
              <w:pStyle w:val="Table01Row"/>
            </w:pPr>
            <w:r>
              <w:t>2010/042</w:t>
            </w:r>
          </w:p>
        </w:tc>
        <w:tc>
          <w:p>
            <w:pPr>
              <w:pStyle w:val="Table01Row"/>
            </w:pPr>
            <w:r>
              <w:t>28 Oct 2010</w:t>
            </w:r>
          </w:p>
        </w:tc>
        <w:tc>
          <w:p>
            <w:pPr>
              <w:pStyle w:val="Table01Row"/>
            </w:pPr>
            <w:r>
              <w:rPr/>
              <w:t xml:space="preserve">25 May 2011 (see s. 2(b) and </w:t>
            </w:r>
            <w:r>
              <w:rPr>
                <w:i/>
              </w:rPr>
              <w:t xml:space="preserve">Gazette</w:t>
            </w:r>
            <w:r>
              <w:rPr/>
              <w:t xml:space="preserve"> 24 May 2011 p. 1892)</w:t>
            </w:r>
          </w:p>
        </w:tc>
      </w:tr>
      <w:tr>
        <w:trPr>
          <w:cantSplit/>
        </w:trPr>
        <w:tc>
          <w:tcPr>
            <w:gridSpan w:val="3"/>
          </w:tcPr>
          <w:p>
            <w:pPr>
              <w:pStyle w:val="Table01Row"/>
            </w:pPr>
            <w:r>
              <w:rPr>
                <w:i/>
              </w:rPr>
              <w:t>National Gas Access (WA) (Act Amendment) Regulations 2017</w:t>
            </w:r>
            <w:r>
              <w:rPr/>
              <w:t xml:space="preserve"> published in </w:t>
            </w:r>
            <w:r>
              <w:rPr>
                <w:i/>
              </w:rPr>
              <w:t xml:space="preserve">Gazette</w:t>
            </w:r>
            <w:r>
              <w:rPr/>
              <w:t xml:space="preserve"> 22 Dec 2017 p. 5985‑6</w:t>
            </w:r>
          </w:p>
        </w:tc>
        <w:tc>
          <w:p>
            <w:pPr>
              <w:pStyle w:val="Table01Row"/>
            </w:pPr>
            <w:r>
              <w:rPr/>
              <w:t xml:space="preserve">23 Dec 2017 (see r. 2(b) and </w:t>
            </w:r>
            <w:r>
              <w:rPr>
                <w:i/>
              </w:rPr>
              <w:t xml:space="preserve">Gazette</w:t>
            </w:r>
            <w:r>
              <w:rPr/>
              <w:t xml:space="preserve"> 22 Dec 2017 p. 5984)</w:t>
            </w:r>
          </w:p>
        </w:tc>
      </w:tr>
      <w:tr>
        <w:trPr>
          <w:cantSplit/>
        </w:trPr>
        <w:tc>
          <w:tcPr>
            <w:gridSpan w:val="3"/>
          </w:tcPr>
          <w:p>
            <w:pPr>
              <w:pStyle w:val="Table01Row"/>
            </w:pPr>
            <w:r>
              <w:rPr>
                <w:i/>
              </w:rPr>
              <w:t>National Gas Access (WA) (Act Amendment) Regulations 2019</w:t>
            </w:r>
            <w:r>
              <w:rPr/>
              <w:t xml:space="preserve"> published in </w:t>
            </w:r>
            <w:r>
              <w:rPr>
                <w:i/>
              </w:rPr>
              <w:t xml:space="preserve">Gazette</w:t>
            </w:r>
            <w:r>
              <w:rPr/>
              <w:t xml:space="preserve"> 5 Apr 2019 p. 1009‑10</w:t>
            </w:r>
          </w:p>
        </w:tc>
        <w:tc>
          <w:p>
            <w:pPr>
              <w:pStyle w:val="Table01Row"/>
            </w:pPr>
            <w:r>
              <w:rPr/>
              <w:t xml:space="preserve">6 Apr 2019 (see r. 2(b) and </w:t>
            </w:r>
            <w:r>
              <w:rPr>
                <w:i/>
              </w:rPr>
              <w:t xml:space="preserve">Gazette</w:t>
            </w:r>
            <w:r>
              <w:rPr/>
              <w:t xml:space="preserve"> 5 Apr 2019 p. 1007)</w:t>
            </w:r>
          </w:p>
        </w:tc>
      </w:tr>
      <w:tr>
        <w:trPr>
          <w:cantSplit/>
        </w:trPr>
        <w:tc>
          <w:tcPr>
            <w:gridSpan w:val="3"/>
          </w:tcPr>
          <w:p>
            <w:pPr>
              <w:pStyle w:val="Table01Row"/>
            </w:pPr>
            <w:r>
              <w:rPr>
                <w:i/>
              </w:rPr>
              <w:t>National Gas Access (WA) (Act Amendment) Regulations 2020</w:t>
            </w:r>
            <w:r>
              <w:rPr/>
              <w:t xml:space="preserve"> (SL 2020/194)</w:t>
            </w:r>
          </w:p>
        </w:tc>
        <w:tc>
          <w:p>
            <w:pPr>
              <w:pStyle w:val="Table01Row"/>
            </w:pPr>
            <w:r>
              <w:rPr/>
              <w:t xml:space="preserve">r. 1 &amp; 2: 9 Oct 2020 (see r. 2(a));</w:t>
            </w:r>
          </w:p>
          <w:p>
            <w:pPr>
              <w:pStyle w:val="Table01Row"/>
            </w:pPr>
            <w:r>
              <w:rPr/>
              <w:t xml:space="preserve">Regulations other than r. 1 &amp; 2: 10 Oct 2020 (see r. 2(b) and SL 2020/195 cl. 2(b))</w:t>
            </w:r>
          </w:p>
        </w:tc>
      </w:tr>
      <w:tr>
        <w:trPr>
          <w:cantSplit/>
        </w:trPr>
        <w:tc>
          <w:tcPr>
            <w:gridSpan w:val="3"/>
          </w:tcPr>
          <w:p>
            <w:pPr>
              <w:pStyle w:val="Table01Row"/>
            </w:pPr>
            <w:r>
              <w:rPr>
                <w:i/>
                <w:color w:val="FF0000"/>
              </w:rPr>
              <w:t>National Gas Access (WA) (Act Amendment) Regulations (No. 2) 2024</w:t>
            </w:r>
            <w:r>
              <w:rPr>
                <w:color w:val="FF0000"/>
              </w:rPr>
              <w:t xml:space="preserve"> (SL 2024/5)</w:t>
            </w:r>
          </w:p>
        </w:tc>
        <w:tc>
          <w:p>
            <w:pPr>
              <w:pStyle w:val="Table01Row"/>
            </w:pPr>
            <w:r>
              <w:rPr>
                <w:color w:val="FF0000"/>
              </w:rPr>
              <w:t xml:space="preserve">r. 1 &amp; 2: 24 Jan 2024 (see r. 2(a));</w:t>
            </w:r>
          </w:p>
          <w:p>
            <w:pPr>
              <w:pStyle w:val="Table01Row"/>
            </w:pPr>
            <w:r>
              <w:rPr>
                <w:color w:val="FF0000"/>
              </w:rPr>
              <w:t xml:space="preserve">Regulations other than r. 1 &amp; 2: 25 Jan 2024 (see r. 2(b) and </w:t>
            </w:r>
            <w:r>
              <w:rPr>
                <w:color w:val="FF0000"/>
                <w:i/>
              </w:rPr>
              <w:t xml:space="preserve">Gazette</w:t>
            </w:r>
            <w:r>
              <w:rPr>
                <w:color w:val="FF0000"/>
              </w:rPr>
              <w:t xml:space="preserve"> 24 Jan 2024 p. 91‑2)</w:t>
            </w:r>
          </w:p>
        </w:tc>
      </w:tr>
    </w:tbl>
    <w:tbl>
      <w:tblPr>
        <w:tblW w:w="0" w:type="auto"/>
        <w:tblLayout w:type="fixed"/>
        <w:tblCellMar>
          <w:left w:w="80" w:type="dxa"/>
          <w:right w:w="80" w:type="dxa"/>
        </w:tblCellMar>
        <w:tblLook w:val="0000" w:firstRow="0" w:lastRow="0" w:firstColumn="0" w:lastColumn="0" w:noHBand="0" w:noVBand="0"/>
      </w:tblPr>
      <w:tblGrid>
        <w:gridCol w:w="10206"/>
      </w:tblGrid>
      <w:tr>
        <w:trPr>
          <w:cantSplit/>
        </w:trPr>
        <w:tc>
          <w:p>
            <w:pPr>
              <w:pStyle w:val="Table01BNote"/>
            </w:pPr>
            <w:r>
              <w:rPr/>
              <w:t xml:space="preserve">NOTES ABOUT THE WESTERN AUSTRALIAN NATIONAL GAS ACCESS LAW TEXT</w:t>
            </w:r>
          </w:p>
          <w:p>
            <w:pPr>
              <w:pStyle w:val="Table01BNote"/>
            </w:pPr>
            <w:r>
              <w:tab/>
            </w:r>
            <w:r>
              <w:rPr/>
              <w:t xml:space="preserve"/>
            </w:r>
          </w:p>
          <w:p>
            <w:pPr>
              <w:pStyle w:val="Table01BNote"/>
            </w:pPr>
            <w:r>
              <w:tab/>
            </w:r>
            <w:r>
              <w:rPr/>
              <w:t xml:space="preserve">The Western Australian National Gas Access Law text is the text that results from modifying the National Gas Law, as set out in the Schedule to the National Gas (South Australia) Act 2008 (South Australia) for the time being in force (the SA Schedule), as shown in the National Gas Access (WA) Act 2009 Schedule 1 (WA Schedule 1) and to reflect that, because of the National Gas Access (WA) Act 2009 s. 7A, amendments to the SA Schedule only affect the Western Australian National Gas Access Law text to the extent that they are declared under that section to be relevant to that text.</w:t>
            </w:r>
          </w:p>
          <w:p>
            <w:pPr>
              <w:pStyle w:val="Table01BNote"/>
            </w:pPr>
            <w:r>
              <w:tab/>
            </w:r>
            <w:r>
              <w:rPr/>
              <w:t xml:space="preserve"/>
            </w:r>
          </w:p>
          <w:p>
            <w:pPr>
              <w:pStyle w:val="Table01BNote"/>
            </w:pPr>
            <w:r>
              <w:tab/>
            </w:r>
            <w:r>
              <w:rPr/>
              <w:t xml:space="preserve">	National Gas (South Australia) Act 2008 Schedule (as modified by the National Gas Access (WA) Act 2009 Sch. 1) SA Act No. 19 of 2008      </w:t>
            </w:r>
          </w:p>
          <w:p>
            <w:pPr>
              <w:pStyle w:val="Table01BNote"/>
            </w:pPr>
            <w:r>
              <w:tab/>
            </w:r>
            <w:r>
              <w:rPr/>
              <w:t xml:space="preserve">             In SA: 1 Jul 2008 (see SA </w:t>
            </w:r>
            <w:r>
              <w:rPr>
                <w:i/>
              </w:rPr>
              <w:t xml:space="preserve">Gazette</w:t>
            </w:r>
            <w:r>
              <w:rPr/>
              <w:t xml:space="preserve"> 26 Jun 2008 p. 2553); In WA: 1 Jan 2010 (see WA Act s. 2(b) and </w:t>
            </w:r>
            <w:r>
              <w:rPr>
                <w:i/>
              </w:rPr>
              <w:t xml:space="preserve">Gazette</w:t>
            </w:r>
            <w:r>
              <w:rPr/>
              <w:t xml:space="preserve"> 31 Dec 2009 p. 5327)</w:t>
            </w:r>
          </w:p>
          <w:p>
            <w:pPr>
              <w:pStyle w:val="Table01BNote"/>
            </w:pPr>
            <w:r>
              <w:tab/>
            </w:r>
            <w:r>
              <w:rPr/>
              <w:t xml:space="preserve"/>
            </w:r>
          </w:p>
          <w:p>
            <w:pPr>
              <w:pStyle w:val="Table01BNote"/>
            </w:pPr>
            <w:r>
              <w:tab/>
            </w:r>
            <w:r>
              <w:rPr/>
              <w:t xml:space="preserve">	National Gas (South Australia) (National Gas Law—Australian Energy Market Operator) Amendment Act 2009 s. 6 SA Act No. 30 of 2009       </w:t>
            </w:r>
          </w:p>
          <w:p>
            <w:pPr>
              <w:pStyle w:val="Table01BNote"/>
            </w:pPr>
            <w:r>
              <w:tab/>
            </w:r>
            <w:r>
              <w:rPr/>
              <w:t xml:space="preserve">            In SA: 1 Jul 2009 (see SA </w:t>
            </w:r>
            <w:r>
              <w:rPr>
                <w:i/>
              </w:rPr>
              <w:t xml:space="preserve">Gazette</w:t>
            </w:r>
            <w:r>
              <w:rPr/>
              <w:t xml:space="preserve"> 25 Jun 2008 p. 3000); In WA: 1 Jan 2010 (see WA </w:t>
            </w:r>
            <w:r>
              <w:rPr>
                <w:i/>
              </w:rPr>
              <w:t xml:space="preserve">Gazette</w:t>
            </w:r>
            <w:r>
              <w:rPr/>
              <w:t xml:space="preserve"> 18 Dec 2009 p. 5167‑8)</w:t>
            </w:r>
          </w:p>
          <w:p>
            <w:pPr>
              <w:pStyle w:val="Table01BNote"/>
            </w:pPr>
            <w:r>
              <w:tab/>
            </w:r>
            <w:r>
              <w:rPr/>
              <w:t xml:space="preserve"/>
            </w:r>
          </w:p>
          <w:p>
            <w:pPr>
              <w:pStyle w:val="Table01BNote"/>
            </w:pPr>
            <w:r>
              <w:tab/>
            </w:r>
            <w:r>
              <w:rPr/>
              <w:t xml:space="preserve">	Statutes Amendment (National Electricity and Gas Laws — Limited Merits Review) Act 2013 Pt. 3 SA Act No. 79 of 2013      </w:t>
            </w:r>
          </w:p>
          <w:p>
            <w:pPr>
              <w:pStyle w:val="Table01BNote"/>
            </w:pPr>
            <w:r>
              <w:tab/>
            </w:r>
            <w:r>
              <w:rPr/>
              <w:t xml:space="preserve">            In SA: 19 Dec 2013 (see SA </w:t>
            </w:r>
            <w:r>
              <w:rPr>
                <w:i/>
              </w:rPr>
              <w:t xml:space="preserve">Gazette</w:t>
            </w:r>
            <w:r>
              <w:rPr/>
              <w:t xml:space="preserve"> 19 Dec 2013 p. 4927); In WA: 15 Mar 2014 (see WA </w:t>
            </w:r>
            <w:r>
              <w:rPr>
                <w:i/>
              </w:rPr>
              <w:t xml:space="preserve">Gazette</w:t>
            </w:r>
            <w:r>
              <w:rPr/>
              <w:t xml:space="preserve"> 14 Mar 2014 p. 632)</w:t>
            </w:r>
          </w:p>
          <w:p>
            <w:pPr>
              <w:pStyle w:val="Table01BNote"/>
            </w:pPr>
            <w:r>
              <w:tab/>
            </w:r>
            <w:r>
              <w:rPr/>
              <w:t xml:space="preserve"/>
            </w:r>
          </w:p>
          <w:p>
            <w:pPr>
              <w:pStyle w:val="Table01BNote"/>
            </w:pPr>
            <w:r>
              <w:tab/>
            </w:r>
            <w:r>
              <w:rPr/>
              <w:t xml:space="preserve">	National Gas (South Australia) (Pipelines Access—Arbitration) Amendment Act 2017 SA Act No. 23 of 2017      </w:t>
            </w:r>
          </w:p>
          <w:p>
            <w:pPr>
              <w:pStyle w:val="Table01BNote"/>
            </w:pPr>
            <w:r>
              <w:tab/>
            </w:r>
            <w:r>
              <w:rPr/>
              <w:t xml:space="preserve">            In SA: 1 Aug 2017 (see SA </w:t>
            </w:r>
            <w:r>
              <w:rPr>
                <w:i/>
              </w:rPr>
              <w:t xml:space="preserve">Gazette</w:t>
            </w:r>
            <w:r>
              <w:rPr/>
              <w:t xml:space="preserve"> 1 Aug 2017 p. 3037); In WA: 23 Dec 2017 (see WA </w:t>
            </w:r>
            <w:r>
              <w:rPr>
                <w:i/>
              </w:rPr>
              <w:t xml:space="preserve">Gazette</w:t>
            </w:r>
            <w:r>
              <w:rPr/>
              <w:t xml:space="preserve"> 22 Dec 2017 p. 5984)</w:t>
            </w:r>
          </w:p>
          <w:p>
            <w:pPr>
              <w:pStyle w:val="Table01BNote"/>
            </w:pPr>
            <w:r>
              <w:tab/>
            </w:r>
            <w:r>
              <w:rPr/>
              <w:t xml:space="preserve"/>
            </w:r>
          </w:p>
          <w:p>
            <w:pPr>
              <w:pStyle w:val="Table01BNote"/>
            </w:pPr>
            <w:r>
              <w:tab/>
            </w:r>
            <w:r>
              <w:rPr/>
              <w:t xml:space="preserve">	Statutes Amendment (National Energy Laws) (Rules) Act 2018 SA Act No. 12 of 2018      </w:t>
            </w:r>
          </w:p>
          <w:p>
            <w:pPr>
              <w:pStyle w:val="Table01BNote"/>
            </w:pPr>
            <w:r>
              <w:tab/>
            </w:r>
            <w:r>
              <w:rPr/>
              <w:t xml:space="preserve">            In SA: 20 Sep 2018 (see SA </w:t>
            </w:r>
            <w:r>
              <w:rPr>
                <w:i/>
              </w:rPr>
              <w:t xml:space="preserve">Gazette</w:t>
            </w:r>
            <w:r>
              <w:rPr/>
              <w:t xml:space="preserve"> 20 Sep 2018 p. 3500);  In WA: 10 Oct 2020 (see SL 2020/195 cl. 2(b))</w:t>
            </w:r>
          </w:p>
          <w:p>
            <w:pPr>
              <w:pStyle w:val="Table01BNote"/>
            </w:pPr>
            <w:r>
              <w:tab/>
            </w:r>
            <w:r>
              <w:rPr/>
              <w:t xml:space="preserve"/>
            </w:r>
          </w:p>
          <w:p>
            <w:pPr>
              <w:pStyle w:val="Table01BNote"/>
            </w:pPr>
            <w:r>
              <w:tab/>
            </w:r>
            <w:r>
              <w:rPr/>
              <w:t xml:space="preserve">	Statutes Amendment (National Energy Laws) (Binding Rate of Return Instrument) Act 2018 Pt. 3 SA Act No. No. 33 of 2018</w:t>
            </w:r>
          </w:p>
          <w:p>
            <w:pPr>
              <w:pStyle w:val="Table01BNote"/>
            </w:pPr>
            <w:r>
              <w:tab/>
            </w:r>
            <w:r>
              <w:rPr/>
              <w:t xml:space="preserve">            In SA: 13 Dec 2018 (see SA </w:t>
            </w:r>
            <w:r>
              <w:rPr>
                <w:i/>
              </w:rPr>
              <w:t xml:space="preserve">Gazette</w:t>
            </w:r>
            <w:r>
              <w:rPr/>
              <w:t xml:space="preserve"> 13 Dec 2018 p. 4272); In WA: 6 Apr 2019 (see WA </w:t>
            </w:r>
            <w:r>
              <w:rPr>
                <w:i/>
              </w:rPr>
              <w:t xml:space="preserve">Gazette</w:t>
            </w:r>
            <w:r>
              <w:rPr/>
              <w:t xml:space="preserve"> 5 Apr 2019 p. 1007)</w:t>
            </w:r>
          </w:p>
          <w:p>
            <w:pPr>
              <w:pStyle w:val="Table01BNote"/>
            </w:pPr>
            <w:r>
              <w:tab/>
            </w:r>
            <w:r>
              <w:rPr/>
              <w:t xml:space="preserve"/>
            </w:r>
          </w:p>
          <w:p>
            <w:pPr>
              <w:pStyle w:val="Table01BNote"/>
            </w:pPr>
            <w:r>
              <w:tab/>
            </w:r>
            <w:r>
              <w:rPr/>
              <w:t xml:space="preserve">            Statutes Amendment (National Energy Laws) (Emissions Reduction Objectives) Act 2023 Pt. 4 SA Act No. 26 of 2023</w:t>
            </w:r>
          </w:p>
          <w:p>
            <w:pPr>
              <w:pStyle w:val="Table01BNote"/>
            </w:pPr>
            <w:r>
              <w:tab/>
            </w:r>
            <w:r>
              <w:rPr/>
              <w:t xml:space="preserve">            In SA: 21 Sep 2023 (see s. 2); In WA: 25 Jan 2024 (see WA </w:t>
            </w:r>
            <w:r>
              <w:rPr>
                <w:i/>
              </w:rPr>
              <w:t xml:space="preserve">Gazette</w:t>
            </w:r>
            <w:r>
              <w:rPr/>
              <w:t xml:space="preserve"> 24 Jan 2024 p. 91‑2)</w:t>
            </w:r>
          </w:p>
        </w:tc>
      </w:tr>
    </w:tbl>
    <w:sectPr>
      <w:headerReference w:type="even" r:id="rId8"/>
      <w:headerReference w:type="default" r:id="rId9"/>
      <w:footerReference w:type="even" r:id="rId10"/>
      <w:footerReference w:type="default" r:id="rId11"/>
      <w:pgSz w:w="11906" w:h="16838" w:code="9"/>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pP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er2.xml><?xml version="1.0" encoding="utf-8"?>
<w:ft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IFooter"/>
      <w:rPr>
        <w:sz w:val="10"/>
      </w:rPr>
    </w:pPr>
    <w:r>
      <w:tab/>
    </w:r>
    <w:r>
      <w:fldChar w:fldCharType="begin"/>
    </w:r>
    <w:r>
      <w:instrText xml:space="preserve"> STYLEREF IActName \* CHARFORMAT</w:instrText>
    </w:r>
    <w:r>
      <w:fldChar w:fldCharType="separate"/>
    </w:r>
    <w:r>
      <w:rPr>
        <w:b/>
        <w:bCs/>
        <w:noProof/>
        <w:lang w:val="en-US"/>
      </w:rPr>
      <w:t>Error! No text of specified style in document.</w:t>
    </w:r>
    <w:r>
      <w:fldChar w:fldCharType="end"/>
    </w:r>
  </w:p>
  <w:p>
    <w:pPr>
      <w:pStyle w:val="Footer"/>
    </w:pPr>
    <w:r>
      <w:rPr>
        <w:sz w:val="18"/>
      </w:rPr>
      <w:t>1-</w:t>
    </w: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rPr>
        <w:b/>
      </w:rPr>
      <w:fldChar w:fldCharType="begin"/>
    </w:r>
    <w:r>
      <w:rPr>
        <w:b/>
      </w:rPr>
      <w:instrText xml:space="preserve"> STYLEREF  IAlphabetDivider </w:instrText>
    </w:r>
    <w:r>
      <w:rPr>
        <w:b/>
      </w:rPr>
      <w:fldChar w:fldCharType="separate"/>
    </w:r>
    <w:r>
      <w:rPr>
        <w:b/>
      </w:rPr>
      <w:t>Error! No text of specified style in document.</w:t>
    </w:r>
    <w:r>
      <w:rPr>
        <w:b/>
      </w:rPr>
      <w:fldChar w:fldCharType="end"/>
    </w:r>
    <w:r>
      <w:tab/>
      <w:t xml:space="preserve">Table 1 — Acts in force</w:t>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header2.xml><?xml version="1.0" encoding="utf-8"?>
<w:hdr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tab/>
    </w:r>
    <w:r>
      <w:tab/>
      <w:t xml:space="preserve">Table 1 — Acts in force</w:t>
    </w:r>
    <w:r>
      <w:tab/>
    </w:r>
    <w:r>
      <w:rPr>
        <w:b/>
      </w:rPr>
      <w:fldChar w:fldCharType="begin"/>
    </w:r>
    <w:r>
      <w:rPr>
        <w:b/>
      </w:rPr>
      <w:instrText xml:space="preserve"> STYLEREF  IAlphabetDivider </w:instrText>
    </w:r>
    <w:r>
      <w:rPr>
        <w:b/>
      </w:rPr>
      <w:fldChar w:fldCharType="separate"/>
    </w:r>
    <w:r>
      <w:rPr>
        <w:b/>
        <w:lang w:val="en-US"/>
      </w:rPr>
      <w:t>Error! No text of specified style in document.</w:t>
    </w:r>
    <w:r>
      <w:rPr>
        <w:b/>
      </w:rPr>
      <w:fldChar w:fldCharType="end"/>
    </w:r>
  </w:p>
  <w:tbl>
    <w:tblPr>
      <w:tblW w:w="0" w:type="auto"/>
      <w:jc w:val="center"/>
      <w:tblLayout w:type="fixed"/>
      <w:tblCellMar>
        <w:left w:w="28" w:type="dxa"/>
        <w:right w:w="28" w:type="dxa"/>
      </w:tblCellMar>
      <w:tblLook w:val="0000" w:firstRow="0" w:lastRow="0" w:firstColumn="0" w:lastColumn="0" w:noHBand="0" w:noVBand="0"/>
    </w:tblPr>
    <w:tblGrid>
      <w:gridCol w:w="3828"/>
      <w:gridCol w:w="1559"/>
      <w:gridCol w:w="1134"/>
      <w:gridCol w:w="3686"/>
    </w:tblGrid>
    <w:tr>
      <w:trPr>
        <w:cantSplit/>
        <w:trHeight w:val="510"/>
        <w:tblHeader/>
        <w:jc w:val="center"/>
      </w:trPr>
      <w:tc>
        <w:tcPr>
          <w:tcBorders>
            <w:top w:val="single" w:sz="4" w:space="0" w:color="auto"/>
            <w:bottom w:val="single" w:sz="4" w:space="0" w:color="auto"/>
          </w:tcBorders>
          <w:vAlign w:val="center"/>
        </w:tcPr>
        <w:p>
          <w:pPr>
            <w:pStyle w:val="Table01Hdr"/>
          </w:pPr>
          <w:r>
            <w:t>Act</w:t>
          </w:r>
        </w:p>
      </w:tc>
      <w:tc>
        <w:tcPr>
          <w:tcBorders>
            <w:top w:val="single" w:sz="4" w:space="0" w:color="auto"/>
            <w:bottom w:val="single" w:sz="4" w:space="0" w:color="auto"/>
          </w:tcBorders>
          <w:vAlign w:val="center"/>
        </w:tcPr>
        <w:p>
          <w:pPr>
            <w:pStyle w:val="Table01Hdr"/>
          </w:pPr>
          <w:r>
            <w:t>Year/Number</w:t>
          </w:r>
        </w:p>
      </w:tc>
      <w:tc>
        <w:tcPr>
          <w:tcBorders>
            <w:top w:val="single" w:sz="4" w:space="0" w:color="auto"/>
            <w:bottom w:val="single" w:sz="4" w:space="0" w:color="auto"/>
          </w:tcBorders>
          <w:vAlign w:val="center"/>
        </w:tcPr>
        <w:p>
          <w:pPr>
            <w:pStyle w:val="Table01Hdr"/>
          </w:pPr>
          <w:r>
            <w:t>Assent</w:t>
          </w:r>
        </w:p>
      </w:tc>
      <w:tc>
        <w:tcPr>
          <w:tcBorders>
            <w:top w:val="single" w:sz="4" w:space="0" w:color="auto"/>
            <w:bottom w:val="single" w:sz="4" w:space="0" w:color="auto"/>
          </w:tcBorders>
          <w:vAlign w:val="center"/>
        </w:tcPr>
        <w:p>
          <w:pPr>
            <w:pStyle w:val="Table01Hdr"/>
          </w:pPr>
          <w:r>
            <w:t>Commencement</w:t>
          </w:r>
        </w:p>
      </w:tc>
    </w:tr>
    <w:tr>
      <w:trPr>
        <w:cantSplit/>
        <w:jc w:val="center"/>
      </w:trPr>
      <w:tc>
        <w:tcPr/>
        <w:p/>
      </w:tc>
      <w:tc>
        <w:tcPr/>
        <w:p/>
      </w:tc>
      <w:tc>
        <w:tcPr/>
        <w:p/>
      </w:tc>
      <w:tc>
        <w:tc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C6A9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EA9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F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B42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6AE1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864E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32B9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02A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246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22F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411BE1"/>
    <w:multiLevelType w:val="singleLevel"/>
    <w:tmpl w:val="94B8C984"/>
    <w:lvl w:ilvl="0">
      <w:start w:val="7"/>
      <w:numFmt w:val="decimal"/>
      <w:lvlText w:val="%1"/>
      <w:lvlJc w:val="left"/>
      <w:pPr>
        <w:tabs>
          <w:tab w:val="num" w:pos="450"/>
        </w:tabs>
        <w:ind w:left="450" w:hanging="450"/>
      </w:pPr>
      <w:rPr>
        <w:rFonts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3A7538"/>
    <w:multiLevelType w:val="singleLevel"/>
    <w:tmpl w:val="47388A70"/>
    <w:lvl w:ilvl="0">
      <w:start w:val="5"/>
      <w:numFmt w:val="decimal"/>
      <w:lvlText w:val="(%1)"/>
      <w:lvlJc w:val="left"/>
      <w:pPr>
        <w:tabs>
          <w:tab w:val="num" w:pos="1620"/>
        </w:tabs>
        <w:ind w:left="1620" w:hanging="525"/>
      </w:pPr>
      <w:rPr>
        <w:rFonts w:hint="default"/>
      </w:rPr>
    </w:lvl>
  </w:abstractNum>
  <w:abstractNum w:abstractNumId="17" w15:restartNumberingAfterBreak="0">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855774"/>
    <w:multiLevelType w:val="singleLevel"/>
    <w:tmpl w:val="97B47F60"/>
    <w:lvl w:ilvl="0">
      <w:start w:val="2"/>
      <w:numFmt w:val="decimal"/>
      <w:lvlText w:val="%1"/>
      <w:lvlJc w:val="left"/>
      <w:pPr>
        <w:tabs>
          <w:tab w:val="num" w:pos="450"/>
        </w:tabs>
        <w:ind w:left="450" w:hanging="45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821B5A"/>
    <w:multiLevelType w:val="singleLevel"/>
    <w:tmpl w:val="FEEA0620"/>
    <w:lvl w:ilvl="0">
      <w:start w:val="5"/>
      <w:numFmt w:val="decimal"/>
      <w:lvlText w:val="%1"/>
      <w:lvlJc w:val="left"/>
      <w:pPr>
        <w:tabs>
          <w:tab w:val="num" w:pos="465"/>
        </w:tabs>
        <w:ind w:left="465" w:hanging="465"/>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32"/>
  </w:num>
  <w:num w:numId="11">
    <w:abstractNumId w:val="16"/>
  </w:num>
  <w:num w:numId="12">
    <w:abstractNumId w:val="18"/>
  </w:num>
  <w:num w:numId="13">
    <w:abstractNumId w:val="11"/>
  </w:num>
  <w:num w:numId="14">
    <w:abstractNumId w:val="2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proofState w:spelling="clean" w:grammar="clean"/>
  <w:defaultTabStop w:val="720"/>
  <w:hyphenationZone w:val="86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C21DF542-39DD-4A5F-8DB7-8839CA79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semiHidden/>
    <w:pPr>
      <w:tabs>
        <w:tab w:val="left" w:pos="284"/>
        <w:tab w:val="center" w:pos="5103"/>
        <w:tab w:val="right" w:pos="9923"/>
      </w:tabs>
      <w:spacing w:after="80"/>
    </w:pPr>
  </w:style>
  <w:style w:type="paragraph" w:styleId="Footer">
    <w:name w:val="footer"/>
    <w:semiHidden/>
    <w:pPr>
      <w:jc w:val="center"/>
    </w:pPr>
    <w:rPr>
      <w:sz w:val="16"/>
    </w:rPr>
  </w:style>
  <w:style w:type="paragraph" w:customStyle="1" w:styleId="IFooter">
    <w:name w:val="IFooter"/>
    <w:semiHidden/>
    <w:pPr>
      <w:pBdr>
        <w:top w:val="single" w:sz="4" w:space="1" w:color="auto"/>
      </w:pBdr>
      <w:tabs>
        <w:tab w:val="right" w:pos="10206"/>
      </w:tabs>
      <w:spacing w:line="260" w:lineRule="atLeast"/>
    </w:pPr>
    <w:rPr>
      <w:i/>
      <w:snapToGrid w:val="0"/>
      <w:sz w:val="16"/>
      <w:lang w:eastAsia="en-US"/>
    </w:rPr>
  </w:style>
  <w:style w:type="paragraph" w:styleId="DocumentMap">
    <w:name w:val="Document Map"/>
    <w:basedOn w:val="Normal"/>
    <w:semiHidden/>
    <w:pPr>
      <w:shd w:val="clear" w:color="auto" w:fill="000080"/>
    </w:pPr>
    <w:rPr>
      <w:rFonts w:ascii="Tahoma" w:hAnsi="Tahoma"/>
    </w:rPr>
  </w:style>
  <w:style w:type="paragraph" w:customStyle="1" w:styleId="IAlphabetDivider">
    <w:name w:val="IAlphabetDivider"/>
    <w:pPr>
      <w:pageBreakBefore/>
      <w:suppressAutoHyphens/>
      <w:jc w:val="center"/>
      <w:outlineLvl w:val="1"/>
    </w:pPr>
    <w:rPr>
      <w:sz w:val="28"/>
    </w:rPr>
  </w:style>
  <w:style w:type="paragraph" w:customStyle="1" w:styleId="ITable">
    <w:name w:val="ITable"/>
    <w:pPr>
      <w:suppressAutoHyphens/>
      <w:jc w:val="center"/>
      <w:outlineLvl w:val="0"/>
    </w:pPr>
    <w:rPr>
      <w:b/>
      <w:sz w:val="32"/>
    </w:rPr>
  </w:style>
  <w:style w:type="paragraph" w:customStyle="1" w:styleId="IActName">
    <w:name w:val="IActName"/>
    <w:basedOn w:val="Normal"/>
    <w:pPr>
      <w:keepNext/>
      <w:suppressAutoHyphens/>
      <w:spacing w:before="240"/>
      <w:ind w:left="284" w:hanging="284"/>
      <w:outlineLvl w:val="2"/>
    </w:pPr>
    <w:rPr>
      <w:b/>
      <w:i/>
      <w:sz w:val="24"/>
    </w:rPr>
  </w:style>
  <w:style w:type="character" w:styleId="Hyperlink">
    <w:name w:val="Hyperlink"/>
    <w:basedOn w:val="DefaultParagraphFont"/>
    <w:semiHidden/>
    <w:rPr>
      <w:color w:val="0000FF"/>
      <w:u w:val="none"/>
    </w:rPr>
  </w:style>
  <w:style w:type="character" w:styleId="FollowedHyperlink">
    <w:name w:val="FollowedHyperlink"/>
    <w:basedOn w:val="DefaultParagraphFont"/>
    <w:semiHidden/>
    <w:rPr>
      <w:color w:val="800080"/>
      <w:u w:val="single"/>
    </w:rPr>
  </w:style>
  <w:style w:type="paragraph" w:customStyle="1" w:styleId="BuildTime">
    <w:name w:val="BuildTime"/>
    <w:pPr>
      <w:jc w:val="center"/>
    </w:pPr>
    <w:rPr>
      <w:sz w:val="24"/>
    </w:rPr>
  </w:style>
  <w:style w:type="paragraph" w:customStyle="1" w:styleId="Highlight">
    <w:name w:val="Highlight"/>
    <w:pPr>
      <w:spacing w:before="120" w:after="60"/>
      <w:ind w:left="284" w:hanging="284"/>
      <w:jc w:val="both"/>
    </w:pPr>
    <w:rPr>
      <w:sz w:val="28"/>
    </w:rPr>
  </w:style>
  <w:style w:type="paragraph" w:customStyle="1" w:styleId="Notes">
    <w:name w:val="Notes"/>
  </w:style>
  <w:style w:type="paragraph" w:customStyle="1" w:styleId="Table01Row">
    <w:name w:val="Table01Row"/>
    <w:qFormat/>
    <w:pPr>
      <w:spacing w:before="40" w:after="40"/>
    </w:pPr>
    <w:rPr>
      <w:sz w:val="18"/>
    </w:rPr>
  </w:style>
  <w:style w:type="paragraph" w:customStyle="1" w:styleId="Table01Hdr">
    <w:name w:val="Table01Hdr"/>
    <w:qFormat/>
    <w:pPr>
      <w:jc w:val="center"/>
    </w:pPr>
    <w:rPr>
      <w:b/>
    </w:rPr>
  </w:style>
  <w:style w:type="paragraph" w:customStyle="1" w:styleId="Table01Note">
    <w:name w:val="Table01Note"/>
    <w:qFormat/>
    <w:pPr>
      <w:keepNext/>
      <w:spacing w:before="80" w:after="40"/>
      <w:ind w:left="113"/>
    </w:pPr>
    <w:rPr>
      <w:sz w:val="18"/>
    </w:rPr>
  </w:style>
  <w:style w:type="paragraph" w:customStyle="1" w:styleId="Table01BNote">
    <w:name w:val="Table01BNote"/>
    <w:qFormat/>
    <w:pPr>
      <w:spacing w:before="40" w:after="40"/>
      <w:ind w:left="170" w:hanging="170"/>
    </w:pPr>
    <w:rPr>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DocSecurity>0</DocSecurity>
  <ScaleCrop>false</ScaleCrop>
  <HeadingPairs>
    <vt:vector size="2" baseType="variant">
      <vt:variant>
        <vt:lpstr>Title</vt:lpstr>
      </vt:variant>
      <vt:variant>
        <vt:i4>1</vt:i4>
      </vt:variant>
    </vt:vector>
  </HeadingPairs>
  <TitlesOfParts>
    <vt:vector size="1" baseType="lpstr">
      <vt:lpstr>Table 1 — Acts in force</vt:lpstr>
    </vt:vector>
  </TitlesOfParts>
  <LinksUpToDate>false</LinksUpToDate>
  <CharactersWithSpaces>1722</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 — Acts in force</dc:title>
  <cp:revision>24</cp:revision>
  <cp:category/>
  <dc:creator>Tables Generator</dc:creator>
</cp:coreProperties>
</file>

<file path=docProps/custom.xml><?xml version="1.0" encoding="utf-8"?>
<Properties xmlns="http://schemas.openxmlformats.org/officeDocument/2006/custom-properties" xmlns:vt="http://schemas.openxmlformats.org/officeDocument/2006/docPropsVTypes">
  <property pid="2" name="Citation" fmtid="{D5CDD505-2E9C-101B-9397-08002B2CF9AE}">
    <vt:lpwstr>National Gas Access (WA) Act 2009</vt:lpwstr>
  </property>
  <property pid="3" name="IDAct" fmtid="{D5CDD505-2E9C-101B-9397-08002B2CF9AE}">
    <vt:lpwstr>146714</vt:lpwstr>
  </property>
  <property pid="4" name="ChangedDate" fmtid="{D5CDD505-2E9C-101B-9397-08002B2CF9AE}">
    <vt:lpwstr>20240124131313</vt:lpwstr>
  </property>
</Properties>
</file>