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Pharmacy Act 2010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Pharmacy Act 2010</w:t>
            </w:r>
          </w:p>
        </w:tc>
        <w:tc>
          <w:p>
            <w:pPr>
              <w:pStyle w:val="Table01Row"/>
            </w:pPr>
            <w:r>
              <w:t>2010/032</w:t>
            </w:r>
          </w:p>
        </w:tc>
        <w:tc>
          <w:p>
            <w:pPr>
              <w:pStyle w:val="Table01Row"/>
            </w:pPr>
            <w:r>
              <w:t>26 Aug 2010</w:t>
            </w:r>
          </w:p>
        </w:tc>
        <w:tc>
          <w:p>
            <w:pPr>
              <w:pStyle w:val="Table01Row"/>
            </w:pPr>
            <w:r>
              <w:rPr/>
              <w:t xml:space="preserve">s. 1 &amp; 2: 26 Aug 2010 (see s. 2(a));</w:t>
            </w:r>
          </w:p>
          <w:p>
            <w:pPr>
              <w:pStyle w:val="Table01Row"/>
            </w:pPr>
            <w:r>
              <w:rPr/>
              <w:t xml:space="preserve">Act other than s. 1 &amp; 2: 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s. 186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225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299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Sep 2017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47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Pharmacy Act 2010</vt:lpwstr>
  </property>
  <property pid="3" name="IDAct" fmtid="{D5CDD505-2E9C-101B-9397-08002B2CF9AE}">
    <vt:lpwstr>146779</vt:lpwstr>
  </property>
  <property pid="4" name="ChangedDate" fmtid="{D5CDD505-2E9C-101B-9397-08002B2CF9AE}">
    <vt:lpwstr>20240108103041</vt:lpwstr>
  </property>
</Properties>
</file>