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Practitioner Regulation National Law (WA)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1 &amp; 2: 30 Aug 2010 (see s. 2(a));</w:t>
            </w:r>
          </w:p>
          <w:p>
            <w:pPr>
              <w:pStyle w:val="Table01Row"/>
            </w:pPr>
            <w:r>
              <w:rPr/>
              <w:t xml:space="preserve">s. 3, 4 (and the Sch.), s. 5‑13, 14(a)‑(d), (f) &amp; (h)‑(m), 15(1)(a) &amp; (b), (2)(a)‑(e), (g), (i)‑(n) &amp; (3), 16‑40, 41(1), 42, 43, 44(2)‑(6), (8) &amp; (10)‑(15), 45‑77, 78(1), 79‑90, 91(1)‑(3), 92‑111, 112(1), 113‑142, 146, 147(1), 150‑156, 157(1) &amp; (2) &amp; 158‑166: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14(e) &amp; (g), 15(1)(c), (2)(f) &amp; (h), 41(2), 44(1), (7) &amp; (9), 78(2), 91(4) &amp; (5), 112(2), 143‑145, 147(2)‑(4), 148‑149 &amp; 157(3):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Jun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Pt. 2 (s. 2‑98)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9(3)‑(6), 10‑22, 25, 27‑35, 36(b)‑(d), 38, 39, 40(1) &amp; (3), 41(1) &amp; (3), 42(1), 43‑47, 49, 51‑54, 55(a), 56‑70, 71(1), 72‑88 &amp; 90‑97): 20 Apr 2018 (see s. 2(b)(i));</w:t>
            </w:r>
          </w:p>
          <w:p>
            <w:pPr>
              <w:pStyle w:val="Table01Row"/>
            </w:pPr>
            <w:r>
              <w:rPr/>
              <w:t xml:space="preserve">s. 87: 16 May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15 May 2018 p. 1527);</w:t>
            </w:r>
          </w:p>
          <w:p>
            <w:pPr>
              <w:pStyle w:val="Table01Row"/>
            </w:pPr>
            <w:r>
              <w:rPr/>
              <w:t xml:space="preserve">s. 38: 18 May 2018 (see s. 2(c));</w:t>
            </w:r>
          </w:p>
          <w:p>
            <w:pPr>
              <w:pStyle w:val="Table01Row"/>
            </w:pPr>
            <w:r>
              <w:rPr/>
              <w:t xml:space="preserve">s. 9(3), 18, 22, 40(3), 41(3), 43, 47, 56, 57(b) &amp; (c), 58, 60, 62, 64, 65(1), 67‑70, 72‑74, 90 &amp; 91: 1 Aug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2018 p. 2357);</w:t>
            </w:r>
          </w:p>
          <w:p>
            <w:pPr>
              <w:pStyle w:val="Table01Row"/>
            </w:pPr>
            <w:r>
              <w:rPr/>
              <w:t xml:space="preserve">s. 9(4)‑(6), 10‑17, 19‑21, 25, 27‑35, 36(b)‑(d), 39, 40(1), 41(1), 42(1), 44‑46, 49, 51‑54, 55(a), 57(a), 59, 61, 63, 65(2) &amp; (3), 66, 71(1), 75‑86, 88, 92‑97 &amp; Pt. 4: 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Practitioner Regulation National Law (WA) Act 2010</vt:lpwstr>
  </property>
  <property pid="3" name="IDAct" fmtid="{D5CDD505-2E9C-101B-9397-08002B2CF9AE}">
    <vt:lpwstr>146782</vt:lpwstr>
  </property>
  <property pid="4" name="ChangedDate" fmtid="{D5CDD505-2E9C-101B-9397-08002B2CF9AE}">
    <vt:lpwstr>20240108103041</vt:lpwstr>
  </property>
</Properties>
</file>