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Prohibited Behaviour Orders Act 2010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Prohibited Behaviour Orders Act 2010</w:t>
            </w:r>
          </w:p>
        </w:tc>
        <w:tc>
          <w:p>
            <w:pPr>
              <w:pStyle w:val="Table01Row"/>
            </w:pPr>
            <w:r>
              <w:t>2010/059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2010 (see s. 2(a));</w:t>
            </w:r>
          </w:p>
          <w:p>
            <w:pPr>
              <w:pStyle w:val="Table01Row"/>
            </w:pPr>
            <w:r>
              <w:rPr/>
              <w:t xml:space="preserve">Act other than s. 1 &amp; 2: 23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Feb 2011 p. 633)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43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</w:t>
              <w:t>s. 180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16 (s. 104‑106)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Pt. 3 Div. 16 other than s. 106: 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5391);</w:t>
            </w:r>
          </w:p>
          <w:p>
            <w:pPr>
              <w:pStyle w:val="Table01Row"/>
            </w:pPr>
            <w:r>
              <w:rPr/>
              <w:t xml:space="preserve">s. 106: to be proclaimed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 (not including 2013/020 s. 106)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15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19 Nov 2022 (see s. 2(c) and SL 2022/186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Prohibited Behaviour Orders Act 2010</vt:lpwstr>
  </property>
  <property pid="3" name="IDAct" fmtid="{D5CDD505-2E9C-101B-9397-08002B2CF9AE}">
    <vt:lpwstr>146805</vt:lpwstr>
  </property>
  <property pid="4" name="ChangedDate" fmtid="{D5CDD505-2E9C-101B-9397-08002B2CF9AE}">
    <vt:lpwstr>20210421010822</vt:lpwstr>
  </property>
</Properties>
</file>