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Building Services Levy Act 2011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Levy Act 2011</w:t>
            </w:r>
          </w:p>
        </w:tc>
        <w:tc>
          <w:p>
            <w:pPr>
              <w:pStyle w:val="Table01Row"/>
            </w:pPr>
            <w:r>
              <w:t>2011/017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s. 1 &amp; 2: 25 May 2011 (see s. 2(a));</w:t>
            </w:r>
          </w:p>
          <w:p>
            <w:pPr>
              <w:pStyle w:val="Table01Row"/>
            </w:pPr>
            <w:r>
              <w:rPr/>
              <w:t xml:space="preserve">s. 3: 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Building Services Levy Act 2011</vt:lpwstr>
  </property>
  <property pid="3" name="IDAct" fmtid="{D5CDD505-2E9C-101B-9397-08002B2CF9AE}">
    <vt:lpwstr>146825</vt:lpwstr>
  </property>
  <property pid="4" name="ChangedDate" fmtid="{D5CDD505-2E9C-101B-9397-08002B2CF9AE}">
    <vt:lpwstr>20230129081742</vt:lpwstr>
  </property>
</Properties>
</file>