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</w:p>
        </w:tc>
        <w:tc>
          <w:p>
            <w:pPr>
              <w:pStyle w:val="Table01Row"/>
            </w:pPr>
            <w:r>
              <w:t>2011/016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s. 1 &amp; 2: 25 May 2011 (see s. 2(a));</w:t>
            </w:r>
          </w:p>
          <w:p>
            <w:pPr>
              <w:pStyle w:val="Table01Row"/>
            </w:pPr>
            <w:r>
              <w:rPr/>
              <w:t xml:space="preserve">Act other than s. 1 &amp; 2: 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205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Aug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2021/004</w:t>
            </w:r>
          </w:p>
        </w:tc>
        <w:tc>
          <w:p>
            <w:pPr>
              <w:pStyle w:val="Table01Row"/>
            </w:pPr>
            <w:r>
              <w:t>25 Jun 2021</w:t>
            </w:r>
          </w:p>
        </w:tc>
        <w:tc>
          <w:p>
            <w:pPr>
              <w:pStyle w:val="Table01Row"/>
            </w:pPr>
            <w:r>
              <w:rPr/>
              <w:t xml:space="preserve">Pt. 7 (other than s. 123 &amp; 124): 1 Aug 2022 (see s. 2(c) and SL 2022/78 cl. 2(2)(a)(vii));</w:t>
            </w:r>
          </w:p>
          <w:p>
            <w:pPr>
              <w:pStyle w:val="Table01Row"/>
            </w:pPr>
            <w:r>
              <w:rPr/>
              <w:t xml:space="preserve">s. 123 &amp; 124: 1 Feb 2023 (see s. 2(c) and SL 2022/78 cl. 2(2)(b)(iii)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Building Services (Complaint Resolution and Administration) Act 2011</vt:lpwstr>
  </property>
  <property pid="3" name="IDAct" fmtid="{D5CDD505-2E9C-101B-9397-08002B2CF9AE}">
    <vt:lpwstr>146826</vt:lpwstr>
  </property>
  <property pid="4" name="ChangedDate" fmtid="{D5CDD505-2E9C-101B-9397-08002B2CF9AE}">
    <vt:lpwstr>20230129081742</vt:lpwstr>
  </property>
</Properties>
</file>