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Metropolitan Redevelopment Authority Act 2011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DevelopmentWA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</w:p>
        </w:tc>
        <w:tc>
          <w:p>
            <w:pPr>
              <w:pStyle w:val="Table01Row"/>
            </w:pPr>
            <w:r>
              <w:t>2011/045</w:t>
            </w:r>
          </w:p>
        </w:tc>
        <w:tc>
          <w:p>
            <w:pPr>
              <w:pStyle w:val="Table01Row"/>
            </w:pPr>
            <w:r>
              <w:t>12 Oct 2011</w:t>
            </w:r>
          </w:p>
        </w:tc>
        <w:tc>
          <w:p>
            <w:pPr>
              <w:pStyle w:val="Table01Row"/>
            </w:pPr>
            <w:r>
              <w:rPr/>
              <w:t xml:space="preserve">s. 1 &amp; 2: 12 Oct 2011 (see s. 2(a));</w:t>
            </w:r>
          </w:p>
          <w:p>
            <w:pPr>
              <w:pStyle w:val="Table01Row"/>
            </w:pPr>
            <w:r>
              <w:rPr/>
              <w:t xml:space="preserve">s. 3, 29, 30, 36 &amp; 132: 7 Nov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4 Nov 2011 p. 4629);</w:t>
            </w:r>
          </w:p>
          <w:p>
            <w:pPr>
              <w:pStyle w:val="Table01Row"/>
            </w:pPr>
            <w:r>
              <w:rPr/>
              <w:t xml:space="preserve">Act other than s. 1‑3, 29, 30, 36 &amp; 132: 31 Dec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2011 p. 5573)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9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Aug 2021 (see s. 2(1)(e) and SL 2021/124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40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Amendment Act 2023</w:t>
            </w:r>
            <w:r>
              <w:t xml:space="preserve"> </w:t>
              <w:t>Pt. 8 Div. 4</w:t>
            </w:r>
          </w:p>
        </w:tc>
        <w:tc>
          <w:p>
            <w:pPr>
              <w:pStyle w:val="Table01Row"/>
            </w:pPr>
            <w:r>
              <w:t>2023/034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2(e))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Metropolitan Redevelopment Authority Act 2011</vt:lpwstr>
  </property>
  <property pid="3" name="IDAct" fmtid="{D5CDD505-2E9C-101B-9397-08002B2CF9AE}">
    <vt:lpwstr>146856</vt:lpwstr>
  </property>
  <property pid="4" name="ChangedDate" fmtid="{D5CDD505-2E9C-101B-9397-08002B2CF9AE}">
    <vt:lpwstr>20230127165751</vt:lpwstr>
  </property>
</Properties>
</file>