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E</w:t>
      </w:r>
    </w:p>
    <w:p>
      <w:pPr>
        <w:pStyle w:val="IActName"/>
      </w:pPr>
      <w:r>
        <w:t>Electronic Transactions Act 2011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Electronic Transactions Act 2011</w:t>
            </w:r>
          </w:p>
        </w:tc>
        <w:tc>
          <w:p>
            <w:pPr>
              <w:pStyle w:val="Table01Row"/>
            </w:pPr>
            <w:r>
              <w:t>2011/046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s. 1 &amp; 2: 25 Oct 2011 (see s. 2(a));</w:t>
            </w:r>
          </w:p>
          <w:p>
            <w:pPr>
              <w:pStyle w:val="Table01Row"/>
            </w:pPr>
            <w:r>
              <w:rPr/>
              <w:t xml:space="preserve">s. 26: 1 Aug 2012 (see s. 2(b)(i) and </w:t>
            </w:r>
            <w:r>
              <w:rPr>
                <w:i/>
              </w:rPr>
              <w:t xml:space="preserve">Gazette</w:t>
            </w:r>
            <w:r>
              <w:rPr/>
              <w:t xml:space="preserve"> 31 Jul 2012 p. 3683);</w:t>
            </w:r>
          </w:p>
          <w:p>
            <w:pPr>
              <w:pStyle w:val="Table01Row"/>
            </w:pPr>
            <w:r>
              <w:rPr/>
              <w:t xml:space="preserve">Act other than s. 1, 2 &amp; 26: 1 Aug 2012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31 Jul 2012 p. 3683)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Electronic Transactions Act 2011</vt:lpwstr>
  </property>
  <property pid="3" name="IDAct" fmtid="{D5CDD505-2E9C-101B-9397-08002B2CF9AE}">
    <vt:lpwstr>146857</vt:lpwstr>
  </property>
  <property pid="4" name="ChangedDate" fmtid="{D5CDD505-2E9C-101B-9397-08002B2CF9AE}">
    <vt:lpwstr>20210421010822</vt:lpwstr>
  </property>
</Properties>
</file>