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Agreements Legislation (Amendment, Termination and Repeals) Act 2011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p>
            <w:pPr>
              <w:pStyle w:val="Table01Row"/>
            </w:pPr>
            <w:r>
              <w:t>2011/062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Pt. 1: 14 Dec 2011 (see s. 2(a));</w:t>
            </w:r>
          </w:p>
          <w:p>
            <w:pPr>
              <w:pStyle w:val="Table01Row"/>
            </w:pPr>
            <w:r>
              <w:rPr/>
              <w:t xml:space="preserve">Act other than Pt. 1: 15 Dec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Agreements Legislation (Amendment, Termination and Repeals) Act 2011</vt:lpwstr>
  </property>
  <property pid="3" name="IDAct" fmtid="{D5CDD505-2E9C-101B-9397-08002B2CF9AE}">
    <vt:lpwstr>146873</vt:lpwstr>
  </property>
  <property pid="4" name="ChangedDate" fmtid="{D5CDD505-2E9C-101B-9397-08002B2CF9AE}">
    <vt:lpwstr>20120223093113</vt:lpwstr>
  </property>
</Properties>
</file>