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 Day (Renaming)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</w:p>
        </w:tc>
        <w:tc>
          <w:p>
            <w:pPr>
              <w:pStyle w:val="Table01Row"/>
            </w:pPr>
            <w:r>
              <w:t>2012/003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s. 1 &amp; 2: 10 Apr 2012 (see s. 2(a));</w:t>
            </w:r>
          </w:p>
          <w:p>
            <w:pPr>
              <w:pStyle w:val="Table01Row"/>
            </w:pPr>
            <w:r>
              <w:rPr/>
              <w:t xml:space="preserve">Act other than s. 1 &amp; 2: 11 Apr 2012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 Day (Renaming) Act 2012</vt:lpwstr>
  </property>
  <property pid="3" name="IDAct" fmtid="{D5CDD505-2E9C-101B-9397-08002B2CF9AE}">
    <vt:lpwstr>146877</vt:lpwstr>
  </property>
  <property pid="4" name="ChangedDate" fmtid="{D5CDD505-2E9C-101B-9397-08002B2CF9AE}">
    <vt:lpwstr>20230609145506</vt:lpwstr>
  </property>
</Properties>
</file>