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Gas Services Information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Services Information Act 2012</w:t>
            </w:r>
          </w:p>
        </w:tc>
        <w:tc>
          <w:p>
            <w:pPr>
              <w:pStyle w:val="Table01Row"/>
            </w:pPr>
            <w:r>
              <w:t>2012/005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s. 1 &amp; 2: 10 Apr 2012 (see s. 2(a));</w:t>
            </w:r>
          </w:p>
          <w:p>
            <w:pPr>
              <w:pStyle w:val="Table01Row"/>
            </w:pPr>
            <w:r>
              <w:rPr/>
              <w:t xml:space="preserve">Act other than s. 1 &amp; 2: 30 Jun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2012 p. 2929)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Gas Services Information Act 2012</vt:lpwstr>
  </property>
  <property pid="3" name="IDAct" fmtid="{D5CDD505-2E9C-101B-9397-08002B2CF9AE}">
    <vt:lpwstr>146879</vt:lpwstr>
  </property>
  <property pid="4" name="ChangedDate" fmtid="{D5CDD505-2E9C-101B-9397-08002B2CF9AE}">
    <vt:lpwstr>20231211152437</vt:lpwstr>
  </property>
</Properties>
</file>