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Commercial Arbitration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s. 1A &amp; 1B: 29 Aug 2012 (see s. 2(a));</w:t>
            </w:r>
          </w:p>
          <w:p>
            <w:pPr>
              <w:pStyle w:val="Table01Row"/>
            </w:pPr>
            <w:r>
              <w:rPr/>
              <w:t xml:space="preserve">Act other than s. 1A, 1B, 45(2) the Table items 1 &amp; 4: 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3677);</w:t>
            </w:r>
          </w:p>
          <w:p>
            <w:pPr>
              <w:pStyle w:val="Table01Row"/>
            </w:pPr>
            <w:r>
              <w:rPr/>
              <w:t xml:space="preserve">s. 45(2) the Table items 1 &amp; 4: to be proclaimed (see s. 1B(b))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5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Commercial Arbitration Act 2012</vt:lpwstr>
  </property>
  <property pid="3" name="IDAct" fmtid="{D5CDD505-2E9C-101B-9397-08002B2CF9AE}">
    <vt:lpwstr>146897</vt:lpwstr>
  </property>
  <property pid="4" name="ChangedDate" fmtid="{D5CDD505-2E9C-101B-9397-08002B2CF9AE}">
    <vt:lpwstr>20210421010821</vt:lpwstr>
  </property>
</Properties>
</file>