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Mining Rehabilitation Fund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Rehabilitation Fund Act 2012</w:t>
            </w:r>
          </w:p>
        </w:tc>
        <w:tc>
          <w:p>
            <w:pPr>
              <w:pStyle w:val="Table01Row"/>
            </w:pPr>
            <w:r>
              <w:t>2012/033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2013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Rehabilitation Fund Amendment Act 2012</w:t>
            </w:r>
          </w:p>
        </w:tc>
        <w:tc>
          <w:p>
            <w:pPr>
              <w:pStyle w:val="Table01Row"/>
            </w:pPr>
            <w:r>
              <w:t>2012/034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2013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2014/004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30 Jun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2014 p. 1953)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9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Mining Rehabilitation Fund Act 2012</vt:lpwstr>
  </property>
  <property pid="3" name="IDAct" fmtid="{D5CDD505-2E9C-101B-9397-08002B2CF9AE}">
    <vt:lpwstr>146907</vt:lpwstr>
  </property>
  <property pid="4" name="ChangedDate" fmtid="{D5CDD505-2E9C-101B-9397-08002B2CF9AE}">
    <vt:lpwstr>20240105111118</vt:lpwstr>
  </property>
</Properties>
</file>