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Electronic Conveyancing Act 2014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Electronic Conveyancing Act 2014</w:t>
            </w:r>
          </w:p>
        </w:tc>
        <w:tc>
          <w:p>
            <w:pPr>
              <w:pStyle w:val="Table01Row"/>
            </w:pPr>
            <w:r>
              <w:t>2014/002</w:t>
            </w:r>
          </w:p>
        </w:tc>
        <w:tc>
          <w:p>
            <w:pPr>
              <w:pStyle w:val="Table01Row"/>
            </w:pPr>
            <w:r>
              <w:t>24 Mar 2014</w:t>
            </w:r>
          </w:p>
        </w:tc>
        <w:tc>
          <w:p>
            <w:pPr>
              <w:pStyle w:val="Table01Row"/>
            </w:pPr>
            <w:r>
              <w:rPr/>
              <w:t xml:space="preserve">Pt. 1 (other than s. 3‑7A): 24 Mar 2014 (see s. 2(a));</w:t>
            </w:r>
          </w:p>
          <w:p>
            <w:pPr>
              <w:pStyle w:val="Table01Row"/>
            </w:pPr>
            <w:r>
              <w:rPr/>
              <w:t xml:space="preserve">s. 3‑7A, Pt. 3‑5 &amp; Sch. 1: 25 Mar 2014 (see s. 2(b));</w:t>
            </w:r>
          </w:p>
          <w:p>
            <w:pPr>
              <w:pStyle w:val="Table01Row"/>
            </w:pPr>
            <w:r>
              <w:rPr/>
              <w:t xml:space="preserve">Pt. 2 &amp; 6‑9: 3 Jun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2014 p. 1679)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May 2017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7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Electronic Conveyancing Act 2014</vt:lpwstr>
  </property>
  <property pid="3" name="IDAct" fmtid="{D5CDD505-2E9C-101B-9397-08002B2CF9AE}">
    <vt:lpwstr>146982</vt:lpwstr>
  </property>
  <property pid="4" name="ChangedDate" fmtid="{D5CDD505-2E9C-101B-9397-08002B2CF9AE}">
    <vt:lpwstr>20230127165750</vt:lpwstr>
  </property>
</Properties>
</file>