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Mental Health Act 2014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Mental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Act 2014</w:t>
            </w:r>
          </w:p>
        </w:tc>
        <w:tc>
          <w:p>
            <w:pPr>
              <w:pStyle w:val="Table01Row"/>
            </w:pPr>
            <w:r>
              <w:t>2014/024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s. 1 &amp; 2: 3 Nov 2014 (see s. 2(a));</w:t>
            </w:r>
          </w:p>
          <w:p>
            <w:pPr>
              <w:pStyle w:val="Table01Row"/>
            </w:pPr>
            <w:r>
              <w:rPr/>
              <w:t xml:space="preserve">Act other than s. 1 &amp; 2: 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Amendment Act 2015</w:t>
            </w:r>
          </w:p>
        </w:tc>
        <w:tc>
          <w:p>
            <w:pPr>
              <w:pStyle w:val="Table01Row"/>
            </w:pPr>
            <w:r>
              <w:t>2015/036</w:t>
            </w:r>
          </w:p>
        </w:tc>
        <w:tc>
          <w:p>
            <w:pPr>
              <w:pStyle w:val="Table01Row"/>
            </w:pPr>
            <w:r>
              <w:t>23 Nov 2015</w:t>
            </w:r>
          </w:p>
        </w:tc>
        <w:tc>
          <w:p>
            <w:pPr>
              <w:pStyle w:val="Table01Row"/>
            </w:pPr>
            <w:r>
              <w:rPr/>
              <w:t xml:space="preserve">s. 1 &amp; 2: 23 Nov 2015 (see s. 2(a));</w:t>
            </w:r>
          </w:p>
          <w:p>
            <w:pPr>
              <w:pStyle w:val="Table01Row"/>
            </w:pPr>
            <w:r>
              <w:rPr/>
              <w:t xml:space="preserve">s. 3‑8: 30 Nov 2015 (see s. 2(b) &amp; (c)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Apr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296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24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2023/001</w:t>
            </w:r>
          </w:p>
        </w:tc>
        <w:tc>
          <w:p>
            <w:pPr>
              <w:pStyle w:val="Table01Row"/>
            </w:pPr>
            <w:r>
              <w:t>22 Feb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2023/103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20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Mental Health Act 2014</vt:lpwstr>
  </property>
  <property pid="3" name="IDAct" fmtid="{D5CDD505-2E9C-101B-9397-08002B2CF9AE}">
    <vt:lpwstr>147019</vt:lpwstr>
  </property>
  <property pid="4" name="ChangedDate" fmtid="{D5CDD505-2E9C-101B-9397-08002B2CF9AE}">
    <vt:lpwstr>20240108103136</vt:lpwstr>
  </property>
</Properties>
</file>