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City of Perth Act 2016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City of Perth Act 2016</w:t>
            </w:r>
          </w:p>
        </w:tc>
        <w:tc>
          <w:p>
            <w:pPr>
              <w:pStyle w:val="Table01Row"/>
            </w:pPr>
            <w:r>
              <w:t>2016/002</w:t>
            </w:r>
          </w:p>
        </w:tc>
        <w:tc>
          <w:p>
            <w:pPr>
              <w:pStyle w:val="Table01Row"/>
            </w:pPr>
            <w:r>
              <w:t>3 Mar 2016</w:t>
            </w:r>
          </w:p>
        </w:tc>
        <w:tc>
          <w:p>
            <w:pPr>
              <w:pStyle w:val="Table01Row"/>
            </w:pPr>
            <w:r>
              <w:rPr/>
              <w:t xml:space="preserve">Pt. 1: 3 Mar 2016 (see s. 2(a));</w:t>
            </w:r>
          </w:p>
          <w:p>
            <w:pPr>
              <w:pStyle w:val="Table01Row"/>
            </w:pPr>
            <w:r>
              <w:rPr/>
              <w:t xml:space="preserve">Act other than Pt. 1: 4 Mar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Amendment Act 2023</w:t>
            </w:r>
            <w:r>
              <w:t xml:space="preserve"> </w:t>
              <w:t>Pt. 3 Div. 1</w:t>
            </w:r>
          </w:p>
        </w:tc>
        <w:tc>
          <w:p>
            <w:pPr>
              <w:pStyle w:val="Table01Row"/>
            </w:pPr>
            <w:r>
              <w:t>2023/011</w:t>
            </w:r>
          </w:p>
        </w:tc>
        <w:tc>
          <w:p>
            <w:pPr>
              <w:pStyle w:val="Table01Row"/>
            </w:pPr>
            <w:r>
              <w:t>18 May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2(d) and SL 2023/92 cl. 2(a))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City of Perth Act 2016</vt:lpwstr>
  </property>
  <property pid="3" name="IDAct" fmtid="{D5CDD505-2E9C-101B-9397-08002B2CF9AE}">
    <vt:lpwstr>147098</vt:lpwstr>
  </property>
  <property pid="4" name="ChangedDate" fmtid="{D5CDD505-2E9C-101B-9397-08002B2CF9AE}">
    <vt:lpwstr>20240105111758</vt:lpwstr>
  </property>
</Properties>
</file>