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Health Services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s. 1 &amp; 2: 26 May 2016 (see s. 2(a));</w:t>
            </w:r>
          </w:p>
          <w:p>
            <w:pPr>
              <w:pStyle w:val="Table01Row"/>
            </w:pPr>
            <w:r>
              <w:rPr/>
              <w:t xml:space="preserve">s. 6, 7, 32, 238, 244 &amp; 245: 15 Jun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Jun 2016 p. 1819);</w:t>
            </w:r>
          </w:p>
          <w:p>
            <w:pPr>
              <w:pStyle w:val="Table01Row"/>
            </w:pPr>
            <w:r>
              <w:rPr/>
              <w:t xml:space="preserve">Pt. 1 (other than s. 1, 2, 6 &amp; 7), Pt. 2, Pt. 3, Pt. 4 (other than s. 32), Pt. 5 to 18, Pt. 19 (other than s. 238, 244 &amp; 245), Pt. 20, Pt. 21 (other than s. 301(2), (3), (6) &amp; (7)) &amp; Pt. 22 (other than s. 307(j)): 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2291);</w:t>
            </w:r>
          </w:p>
          <w:p>
            <w:pPr>
              <w:pStyle w:val="Table01Row"/>
            </w:pPr>
            <w:r>
              <w:rPr/>
              <w:t xml:space="preserve">s. 301(2), (3), (6)  &amp; (7) &amp; s. 307(j):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17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4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22 Jul 2020 (see s. 2(b) and SL 2020/122)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2023/001</w:t>
            </w:r>
          </w:p>
        </w:tc>
        <w:tc>
          <w:p>
            <w:pPr>
              <w:pStyle w:val="Table01Row"/>
            </w:pPr>
            <w:r>
              <w:t>22 Feb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2023/103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Health Services Act 2016</vt:lpwstr>
  </property>
  <property pid="3" name="IDAct" fmtid="{D5CDD505-2E9C-101B-9397-08002B2CF9AE}">
    <vt:lpwstr>147107</vt:lpwstr>
  </property>
  <property pid="4" name="ChangedDate" fmtid="{D5CDD505-2E9C-101B-9397-08002B2CF9AE}">
    <vt:lpwstr>20240108103041</vt:lpwstr>
  </property>
</Properties>
</file>