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Health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Act 2016</w:t>
            </w:r>
          </w:p>
        </w:tc>
        <w:tc>
          <w:p>
            <w:pPr>
              <w:pStyle w:val="Table01Row"/>
            </w:pPr>
            <w:r>
              <w:t>2016/018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1 (other than s. 3‑5): 25 Jul 2016 (see s. 2(a));</w:t>
            </w:r>
          </w:p>
          <w:p>
            <w:pPr>
              <w:pStyle w:val="Table01Row"/>
            </w:pPr>
            <w:r>
              <w:rPr/>
              <w:t xml:space="preserve">s. 3‑5: 26 Jul 2016 (see s. 2(b)(i));</w:t>
            </w:r>
          </w:p>
          <w:p>
            <w:pPr>
              <w:pStyle w:val="Table01Row"/>
            </w:pPr>
            <w:r>
              <w:rPr/>
              <w:t xml:space="preserve">Pt. 17: 26 Jul 2016 (see s. 2(b)(ii));</w:t>
            </w:r>
          </w:p>
          <w:p>
            <w:pPr>
              <w:pStyle w:val="Table01Row"/>
            </w:pPr>
            <w:r>
              <w:rPr/>
              <w:t xml:space="preserve">Pt. 19 (other than Div. 1, 3 &amp; 4): 26 Jul 2016 (see s. 2(b)(iii));</w:t>
            </w:r>
          </w:p>
          <w:p>
            <w:pPr>
              <w:pStyle w:val="Table01Row"/>
            </w:pPr>
            <w:r>
              <w:rPr/>
              <w:t xml:space="preserve">Pt. 20 (s. 310 &amp; 322): 26 Jul 2016 (see s. 2(b)(iv));</w:t>
            </w:r>
          </w:p>
          <w:p>
            <w:pPr>
              <w:pStyle w:val="Table01Row"/>
            </w:pPr>
            <w:r>
              <w:rPr/>
              <w:t xml:space="preserve">Pt. 2 Div. 1 (except s. 7 &amp; 8), Div. 2‑4, Pt. 18 Div. 1 &amp; 2 &amp; Pt. 20 (s. 307‑309 &amp; 311‑312): 24 Jan 2017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163); </w:t>
            </w:r>
          </w:p>
          <w:p>
            <w:pPr>
              <w:pStyle w:val="Table01Row"/>
            </w:pPr>
            <w:r>
              <w:rPr/>
              <w:t xml:space="preserve">Pt. 2 Div 5, Pt. 3, 4, 9, 11 to 13, 15 &amp; 16, Pt. 19 Div. 3 &amp; 4 and Pt. 20 (s. 321): 20 Sep 2017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p.4879);</w:t>
            </w:r>
          </w:p>
          <w:p>
            <w:pPr>
              <w:pStyle w:val="Table01Row"/>
            </w:pPr>
            <w:r>
              <w:rPr/>
              <w:t xml:space="preserve">s. 7 &amp; 8, Pt. 5 to 8, Pt. 10, Pt. 14, Pt. 18 Div. 3, Pt. 19 Div. 1 &amp; Pt. 20 (s. 313‑320):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5 Div. 18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28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(Immunisation Requirements for Enrolment)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2019/014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s. 3: 5 Jul 2019 (see s. 2 (a));</w:t>
            </w:r>
          </w:p>
          <w:p>
            <w:pPr>
              <w:pStyle w:val="Table01Row"/>
            </w:pPr>
            <w:r>
              <w:rPr/>
              <w:t xml:space="preserve">s. 4‑12: 22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Jul 2019 p. 2841)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(COVID‑19 Response) Act 2020</w:t>
            </w:r>
          </w:p>
        </w:tc>
        <w:tc>
          <w:p>
            <w:pPr>
              <w:pStyle w:val="Table01Row"/>
            </w:pPr>
            <w:r>
              <w:t>2020/033</w:t>
            </w:r>
          </w:p>
        </w:tc>
        <w:tc>
          <w:p>
            <w:pPr>
              <w:pStyle w:val="Table01Row"/>
            </w:pPr>
            <w:r>
              <w:t>21 Aug 2020</w:t>
            </w:r>
          </w:p>
        </w:tc>
        <w:tc>
          <w:p>
            <w:pPr>
              <w:pStyle w:val="Table01Row"/>
            </w:pPr>
            <w:r>
              <w:rPr/>
              <w:t xml:space="preserve">s. 1 &amp; 2: 21 Aug 2020 (see s. 2(1)(a));</w:t>
            </w:r>
          </w:p>
          <w:p>
            <w:pPr>
              <w:pStyle w:val="Table01Row"/>
            </w:pPr>
            <w:r>
              <w:rPr/>
              <w:t xml:space="preserve">Act other than s. 1 &amp; 2: 12 Sep 2020 (see s. 2(1)(b) and SL 2020/153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(Safe Access Zones) Act 2021</w:t>
            </w:r>
          </w:p>
        </w:tc>
        <w:tc>
          <w:p>
            <w:pPr>
              <w:pStyle w:val="Table01Row"/>
            </w:pPr>
            <w:r>
              <w:t>2021/009</w:t>
            </w:r>
          </w:p>
        </w:tc>
        <w:tc>
          <w:p>
            <w:pPr>
              <w:pStyle w:val="Table01Row"/>
            </w:pPr>
            <w:r>
              <w:t>17 Aug 2021</w:t>
            </w:r>
          </w:p>
        </w:tc>
        <w:tc>
          <w:p>
            <w:pPr>
              <w:pStyle w:val="Table01Row"/>
            </w:pPr>
            <w:r>
              <w:rPr/>
              <w:t xml:space="preserve">s. 1 &amp; 2: 17 Aug 2021 (see s. 2(a));</w:t>
            </w:r>
          </w:p>
          <w:p>
            <w:pPr>
              <w:pStyle w:val="Table01Row"/>
            </w:pPr>
            <w:r>
              <w:rPr/>
              <w:t xml:space="preserve">Act other than s. 1 &amp; 2: 18 Aug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2 Subdiv. 5 &amp; Pt. 3 Div. 3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Pt. 2 Div. 2 Subdiv. 5: 3 Nov 2022 (see s. 2(b) and SL 2022/175 cl. 2);</w:t>
            </w:r>
          </w:p>
          <w:p>
            <w:pPr>
              <w:pStyle w:val="Table01Row"/>
            </w:pPr>
            <w:r>
              <w:rPr/>
              <w:t xml:space="preserve">Pt. 3 Div. 3: 3 Nov 2024 (see s. 2(c) and SL 2022/175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Health Act 2016</vt:lpwstr>
  </property>
  <property pid="3" name="IDAct" fmtid="{D5CDD505-2E9C-101B-9397-08002B2CF9AE}">
    <vt:lpwstr>147114</vt:lpwstr>
  </property>
  <property pid="4" name="ChangedDate" fmtid="{D5CDD505-2E9C-101B-9397-08002B2CF9AE}">
    <vt:lpwstr>20240405143254</vt:lpwstr>
  </property>
</Properties>
</file>