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B</w:t>
      </w:r>
    </w:p>
    <w:p>
      <w:pPr>
        <w:pStyle w:val="IActName"/>
      </w:pPr>
      <w:r>
        <w:t>Biodiversity Conservation Act 2016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Environment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Biodiversity, Conservation and Attractions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Biodiversity Conservation Act 2016</w:t>
            </w:r>
          </w:p>
        </w:tc>
        <w:tc>
          <w:p>
            <w:pPr>
              <w:pStyle w:val="Table01Row"/>
            </w:pPr>
            <w:r>
              <w:t>2016/024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s. 1 &amp; 2: 21 Sep 2016 (see s. 2(a));</w:t>
            </w:r>
          </w:p>
          <w:p>
            <w:pPr>
              <w:pStyle w:val="Table01Row"/>
            </w:pPr>
            <w:r>
              <w:rPr/>
              <w:t xml:space="preserve">Long title, Pt. 1 (other than s. 1 &amp; 2), Pt. 5, Pt. 7 (other than s. 120(1)‑(4)), Pt. 8, Pt. 11, Pt. 13 Div. 1, Pt. 14 (other than s. 256), Pt. 15, Pt. 17 Div. 1 (other than s. 291(b), 292(2)‑(4), 293‑297, 299, 301, 302 &amp; 304‑309), Pt. 17 Div. 2 heading, s. 319 &amp; Sch 1: 3 Dec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 Dec 2016 p. 5382);</w:t>
            </w:r>
          </w:p>
          <w:p>
            <w:pPr>
              <w:pStyle w:val="Table01Row"/>
            </w:pPr>
            <w:r>
              <w:rPr/>
              <w:t xml:space="preserve">Pt. 2‑4, Pt. 6, s. 120(1)‑(4), Pt. 10, Pt. 12, Pt. 13 Div 2‑4, s. 256, Pt. 16, s. 291(b), 292(2)‑(4), 293‑297, 299, 301, 302, 304‑317, s. 318(1) &amp; (2)(a) &amp; 320: 1 Jan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Sep 2018 p. 3305);</w:t>
            </w:r>
          </w:p>
          <w:p>
            <w:pPr>
              <w:pStyle w:val="Table01Row"/>
            </w:pPr>
            <w:r>
              <w:rPr/>
              <w:t xml:space="preserve">Pt. 9 &amp; s. 318(2)(b): 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</w:t>
              <w:t>Pt. 19 Div. 1</w:t>
            </w:r>
          </w:p>
        </w:tc>
        <w:tc>
          <w:p>
            <w:pPr>
              <w:pStyle w:val="Table01Row"/>
            </w:pPr>
            <w:r>
              <w:t>2016/053</w:t>
            </w:r>
          </w:p>
        </w:tc>
        <w:tc>
          <w:p>
            <w:pPr>
              <w:pStyle w:val="Table01Row"/>
            </w:pPr>
            <w:r>
              <w:t>29 Nov 2016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Environmental Protection Amendment Act 2020</w:t>
            </w:r>
            <w:r>
              <w:t xml:space="preserve"> </w:t>
              <w:t>s. 113</w:t>
            </w:r>
          </w:p>
        </w:tc>
        <w:tc>
          <w:p>
            <w:pPr>
              <w:pStyle w:val="Table01Row"/>
            </w:pPr>
            <w:r>
              <w:t>2020/040</w:t>
            </w:r>
          </w:p>
        </w:tc>
        <w:tc>
          <w:p>
            <w:pPr>
              <w:pStyle w:val="Table01Row"/>
            </w:pPr>
            <w:r>
              <w:t>19 Nov 2020</w:t>
            </w:r>
          </w:p>
        </w:tc>
        <w:tc>
          <w:p>
            <w:pPr>
              <w:pStyle w:val="Table01Row"/>
            </w:pPr>
            <w:r>
              <w:rPr/>
              <w:t xml:space="preserve">23 Oct 2021 (see s. 2(1)(e) &amp; SL 2021/176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9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4 Nov 2023 (see s. 2(e) and SL 2023/162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Biodiversity Conservation Act 2016</vt:lpwstr>
  </property>
  <property pid="3" name="IDAct" fmtid="{D5CDD505-2E9C-101B-9397-08002B2CF9AE}">
    <vt:lpwstr>147120</vt:lpwstr>
  </property>
  <property pid="4" name="ChangedDate" fmtid="{D5CDD505-2E9C-101B-9397-08002B2CF9AE}">
    <vt:lpwstr>20230129090436</vt:lpwstr>
  </property>
</Properties>
</file>