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Aquatic Resources Management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2016 (see s. 2(a));</w:t>
            </w:r>
          </w:p>
          <w:p>
            <w:pPr>
              <w:pStyle w:val="Table01Row"/>
            </w:pPr>
            <w:r>
              <w:rPr/>
              <w:t xml:space="preserve">Pt. 1 s. 3, 4, 5 &amp; 8, Pt. 2, Pt. 3 Div. 1, Div. 2 s. 14(1) &amp; (4), 15‑21, 23‑27 &amp; Div. 3 s. 32‑40, Pt. 16 s. 253‑257: 2 May 2018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 May 2018 p. 1431);</w:t>
            </w:r>
          </w:p>
          <w:p>
            <w:pPr>
              <w:pStyle w:val="Table01Row"/>
            </w:pPr>
            <w:r>
              <w:rPr/>
              <w:t xml:space="preserve">Act other than Pt. 1 s. 1‑5 &amp; 8, Pt. 2, Pt. 3 Div. 1, Div. 2 s. 14(1) &amp; (4), 15‑21, 23‑27 &amp; Div. 3 s. 32‑40, Pt. 16 s. 253‑257: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Legislation Amendment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2016/040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Operative on commencement of the Aquatic Resources Management Act 2016 s. 263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Kennedy Development Act 2017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2017/008</w:t>
            </w:r>
          </w:p>
        </w:tc>
        <w:tc>
          <w:p>
            <w:pPr>
              <w:pStyle w:val="Table01Row"/>
            </w:pPr>
            <w:r>
              <w:t>15 Sep 2017</w:t>
            </w:r>
          </w:p>
        </w:tc>
        <w:tc>
          <w:p>
            <w:pPr>
              <w:pStyle w:val="Table01Row"/>
            </w:pPr>
            <w:r>
              <w:rPr/>
              <w:t xml:space="preserve">27 Feb 2018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27 Feb 2018 p. 531)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Amendment Act 2021</w:t>
            </w:r>
          </w:p>
        </w:tc>
        <w:tc>
          <w:p>
            <w:pPr>
              <w:pStyle w:val="Table01Row"/>
            </w:pPr>
            <w:r>
              <w:t>2021/014</w:t>
            </w:r>
          </w:p>
        </w:tc>
        <w:tc>
          <w:p>
            <w:pPr>
              <w:pStyle w:val="Table01Row"/>
            </w:pPr>
            <w:r>
              <w:t>24 Aug 2021</w:t>
            </w:r>
          </w:p>
        </w:tc>
        <w:tc>
          <w:p>
            <w:pPr>
              <w:pStyle w:val="Table01Row"/>
            </w:pPr>
            <w:r>
              <w:rPr/>
              <w:t xml:space="preserve">s. 1 &amp; 2: 24 Aug 2021 (see s. 2(a));</w:t>
            </w:r>
          </w:p>
          <w:p>
            <w:pPr>
              <w:pStyle w:val="Table01Row"/>
            </w:pPr>
            <w:r>
              <w:rPr/>
              <w:t xml:space="preserve">Act other than s. 1 &amp; 2: 25 Aug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Operative immediately after the Aquatic Resources Management Act 2016 s. 191 &amp; 192 comes into operation (see s. 2(c)(ii))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</w:t>
              <w:t>Pt. 8 Div. 3</w:t>
            </w:r>
          </w:p>
        </w:tc>
        <w:tc>
          <w:p>
            <w:pPr>
              <w:pStyle w:val="Table01Row"/>
            </w:pPr>
            <w:r>
              <w:t>2023/034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12 Dec 2023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Aquatic Resources Management Act 2016</vt:lpwstr>
  </property>
  <property pid="3" name="IDAct" fmtid="{D5CDD505-2E9C-101B-9397-08002B2CF9AE}">
    <vt:lpwstr>147142</vt:lpwstr>
  </property>
  <property pid="4" name="ChangedDate" fmtid="{D5CDD505-2E9C-101B-9397-08002B2CF9AE}">
    <vt:lpwstr>20231122154055</vt:lpwstr>
  </property>
</Properties>
</file>