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Heritage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Pt. 1 (other than s. 3‑10): 18 Sep 2018 (see s. 2(a));</w:t>
            </w:r>
          </w:p>
          <w:p>
            <w:pPr>
              <w:pStyle w:val="Table01Row"/>
            </w:pPr>
            <w:r>
              <w:rPr/>
              <w:t xml:space="preserve">Act other than heading to Pt. 1 &amp; s. 1 &amp; 2: 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4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349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Heritage Act 2018</vt:lpwstr>
  </property>
  <property pid="3" name="IDAct" fmtid="{D5CDD505-2E9C-101B-9397-08002B2CF9AE}">
    <vt:lpwstr>147195</vt:lpwstr>
  </property>
  <property pid="4" name="ChangedDate" fmtid="{D5CDD505-2E9C-101B-9397-08002B2CF9AE}">
    <vt:lpwstr>20230606102957</vt:lpwstr>
  </property>
</Properties>
</file>