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Transport (Road Passenger Services) Act 2018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Pt. 1: 30 Oct 2018 (see s. 2(a));</w:t>
            </w:r>
          </w:p>
          <w:p>
            <w:pPr>
              <w:pStyle w:val="Table01Row"/>
            </w:pPr>
            <w:r>
              <w:rPr/>
              <w:t xml:space="preserve">Pt. 2, Pt. 3 (other than s. 27(1) &amp; (2) &amp; 28), Pt. 7 &amp; 8, Pt. 9 Div. 1 (other than s. 230 &amp; 236) &amp; Div. 3, Pt. 10 &amp; 11, Pt. 12 (other than Div. 3), Pt. 13, Pt. 14 Div. 1 (other than s. 303) &amp; Div. 2 (other than Subdiv. 1, 2, 3, 8 &amp; 10 &amp; s. 327(1)): 28 Feb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449‑50);</w:t>
            </w:r>
          </w:p>
          <w:p>
            <w:pPr>
              <w:pStyle w:val="Table01Row"/>
            </w:pPr>
            <w:r>
              <w:rPr/>
              <w:t xml:space="preserve">s. 27(1) &amp; (2) &amp; 28, Pt. 9 Div. 2, Pt. 14 Div 2. Subdiv. 8: 1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449‑50);</w:t>
            </w:r>
          </w:p>
          <w:p>
            <w:pPr>
              <w:pStyle w:val="Table01Row"/>
            </w:pPr>
            <w:r>
              <w:rPr/>
              <w:t xml:space="preserve">s. 230 &amp; 236: 1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2473);</w:t>
            </w:r>
          </w:p>
          <w:p>
            <w:pPr>
              <w:pStyle w:val="Table01Row"/>
            </w:pPr>
            <w:r>
              <w:rPr/>
              <w:t xml:space="preserve">Pt. 4 (other than s. 56 &amp; 57), Pt. 6, s. 303 &amp; 327(1) &amp; Pt. 14 Div. 2 Subdiv. 1, 2, 3 &amp; 10: 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2473;</w:t>
            </w:r>
          </w:p>
          <w:p>
            <w:pPr>
              <w:pStyle w:val="Table01Row"/>
            </w:pPr>
            <w:r>
              <w:rPr/>
              <w:t xml:space="preserve">s. 56 &amp; 57: 1 Aug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2473);</w:t>
            </w:r>
          </w:p>
          <w:p>
            <w:pPr>
              <w:pStyle w:val="Table01Row"/>
            </w:pPr>
            <w:r>
              <w:rPr/>
              <w:t xml:space="preserve">Act other than Pt. 1‑4, Pt. 6‑11, Pt. 12 Div. 1 &amp; 2 &amp; Pt. 13 &amp; 14: 1 Jul 2020 (see s. 2(b) &amp; SL 2020/89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Amendment Act 2018</w:t>
            </w:r>
          </w:p>
        </w:tc>
        <w:tc>
          <w:p>
            <w:pPr>
              <w:pStyle w:val="Table01Row"/>
            </w:pPr>
            <w:r>
              <w:t>2018/027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s. 1 &amp; 2: 30 Oct 2018 (see s. 2(a));</w:t>
            </w:r>
          </w:p>
          <w:p>
            <w:pPr>
              <w:pStyle w:val="Table01Row"/>
            </w:pPr>
            <w:r>
              <w:rPr/>
              <w:t xml:space="preserve">Act other than s. 1 &amp; 2: 1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Amendment (COVID‑19 Response and Regional Assistance) Act 2020</w:t>
            </w:r>
          </w:p>
        </w:tc>
        <w:tc>
          <w:p>
            <w:pPr>
              <w:pStyle w:val="Table01Row"/>
            </w:pPr>
            <w:r>
              <w:t>2020/010</w:t>
            </w:r>
          </w:p>
        </w:tc>
        <w:tc>
          <w:p>
            <w:pPr>
              <w:pStyle w:val="Table01Row"/>
            </w:pPr>
            <w:r>
              <w:t>3 Apr 2020</w:t>
            </w:r>
          </w:p>
        </w:tc>
        <w:tc>
          <w:p>
            <w:pPr>
              <w:pStyle w:val="Table01Row"/>
            </w:pPr>
            <w:r>
              <w:rPr/>
              <w:t xml:space="preserve">s. 1 &amp; 2: 3 Apr 2020 (see s. 2(a));</w:t>
            </w:r>
          </w:p>
          <w:p>
            <w:pPr>
              <w:pStyle w:val="Table01Row"/>
            </w:pPr>
            <w:r>
              <w:rPr/>
              <w:t xml:space="preserve">Act other than s. 1 &amp; 2: 4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Transport (Road Passenger Services) Act 2018</vt:lpwstr>
  </property>
  <property pid="3" name="IDAct" fmtid="{D5CDD505-2E9C-101B-9397-08002B2CF9AE}">
    <vt:lpwstr>147199</vt:lpwstr>
  </property>
  <property pid="4" name="ChangedDate" fmtid="{D5CDD505-2E9C-101B-9397-08002B2CF9AE}">
    <vt:lpwstr>20230613134304</vt:lpwstr>
  </property>
</Properties>
</file>