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Community Titles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s. 1 &amp; 2: 19 Nov 2018 (see s. 2(a));</w:t>
            </w:r>
          </w:p>
          <w:p>
            <w:pPr>
              <w:pStyle w:val="Table01Row"/>
            </w:pPr>
            <w:r>
              <w:rPr/>
              <w:t xml:space="preserve">Pt. 13 (but only s. 188 &amp; 189): 6 Nov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2019 p. 3877);</w:t>
            </w:r>
          </w:p>
          <w:p>
            <w:pPr>
              <w:pStyle w:val="Table01Row"/>
            </w:pPr>
            <w:r>
              <w:rPr/>
              <w:t xml:space="preserve">Act other than s. 1, 2, 188, 189, 224‑226 &amp; 253: 30 Jun 2021 (see s. 2(b) and SL 2021/69 cl. 2); </w:t>
            </w:r>
          </w:p>
          <w:p>
            <w:pPr>
              <w:pStyle w:val="Table01Row"/>
            </w:pPr>
            <w:r>
              <w:rPr/>
              <w:t xml:space="preserve">s. 224‑226 &amp; 253: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Amendment (Consistency of Charging) Act 2018</w:t>
            </w:r>
          </w:p>
        </w:tc>
        <w:tc>
          <w:p>
            <w:pPr>
              <w:pStyle w:val="Table01Row"/>
            </w:pPr>
            <w:r>
              <w:t>2018/033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s. 1 &amp; 2: 19 Nov 2018 (see s. 2(a));</w:t>
            </w:r>
          </w:p>
          <w:p>
            <w:pPr>
              <w:pStyle w:val="Table01Row"/>
            </w:pPr>
            <w:r>
              <w:rPr/>
              <w:t xml:space="preserve">Act other than s. 1 &amp; 2: 6 Nov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2019 p. 3877)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Amendment Act 2020</w:t>
            </w:r>
            <w:r>
              <w:t xml:space="preserve"> </w:t>
              <w:t>Pt. 12 Div. 2</w:t>
            </w:r>
          </w:p>
        </w:tc>
        <w:tc>
          <w:p>
            <w:pPr>
              <w:pStyle w:val="Table01Row"/>
            </w:pPr>
            <w:r>
              <w:t>2020/026</w:t>
            </w:r>
          </w:p>
        </w:tc>
        <w:tc>
          <w:p>
            <w:pPr>
              <w:pStyle w:val="Table01Row"/>
            </w:pPr>
            <w:r>
              <w:t>7 Jul 2020</w:t>
            </w:r>
          </w:p>
        </w:tc>
        <w:tc>
          <w:p>
            <w:pPr>
              <w:pStyle w:val="Table01Row"/>
            </w:pPr>
            <w:r>
              <w:rPr/>
              <w:t xml:space="preserve">1 Aug 2023 (see s. 2(1)(b) and SL 2023/107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6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Postponement of provisions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Community Titles Act 2018 (Postponement of Expiry) Proclamation 2019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(see </w:t>
            </w:r>
            <w:r>
              <w:rPr>
                <w:i/>
              </w:rPr>
              <w:t xml:space="preserve">Gazette</w:t>
            </w:r>
            <w:r>
              <w:rPr/>
              <w:t xml:space="preserve"> 5 Nov 2019 p. 3877‑8)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Community Titles Act 2018</vt:lpwstr>
  </property>
  <property pid="3" name="IDAct" fmtid="{D5CDD505-2E9C-101B-9397-08002B2CF9AE}">
    <vt:lpwstr>147205</vt:lpwstr>
  </property>
  <property pid="4" name="ChangedDate" fmtid="{D5CDD505-2E9C-101B-9397-08002B2CF9AE}">
    <vt:lpwstr>20230127165750</vt:lpwstr>
  </property>
</Properties>
</file>