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Reserves (Tjuntjuntjara Community)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(Tjuntjuntjara Community) Act 2018</w:t>
            </w:r>
          </w:p>
        </w:tc>
        <w:tc>
          <w:p>
            <w:pPr>
              <w:pStyle w:val="Table01Row"/>
            </w:pPr>
            <w:r>
              <w:t>2018/040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s. 1‑4 &amp; 6: 12 Dec 2018 (see s. 2(a));</w:t>
            </w:r>
          </w:p>
          <w:p>
            <w:pPr>
              <w:pStyle w:val="Table01Row"/>
            </w:pPr>
            <w:r>
              <w:rPr/>
              <w:t xml:space="preserve">Act other than s. 1‑4 &amp; 6: 24 Dec 2022 (see s. 2(b) and SL 2022/213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Reserves (Tjuntjuntjara Community) Act 2018</vt:lpwstr>
  </property>
  <property pid="3" name="IDAct" fmtid="{D5CDD505-2E9C-101B-9397-08002B2CF9AE}">
    <vt:lpwstr>147213</vt:lpwstr>
  </property>
  <property pid="4" name="ChangedDate" fmtid="{D5CDD505-2E9C-101B-9397-08002B2CF9AE}">
    <vt:lpwstr>20230127165751</vt:lpwstr>
  </property>
</Properties>
</file>