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Child Support (Commonwealth Powers) Act 2019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 Support (Commonwealth Powers) Act 2019</w:t>
            </w:r>
          </w:p>
        </w:tc>
        <w:tc>
          <w:p>
            <w:pPr>
              <w:pStyle w:val="Table01Row"/>
            </w:pPr>
            <w:r>
              <w:t>2019/007</w:t>
            </w:r>
          </w:p>
        </w:tc>
        <w:tc>
          <w:p>
            <w:pPr>
              <w:pStyle w:val="Table01Row"/>
            </w:pPr>
            <w:r>
              <w:t>15 May 2019</w:t>
            </w:r>
          </w:p>
        </w:tc>
        <w:tc>
          <w:p>
            <w:pPr>
              <w:pStyle w:val="Table01Row"/>
            </w:pPr>
            <w:r>
              <w:rPr/>
              <w:t xml:space="preserve">15 May 2019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Child Support (Commonwealth Powers) Act 2019</vt:lpwstr>
  </property>
  <property pid="3" name="IDAct" fmtid="{D5CDD505-2E9C-101B-9397-08002B2CF9AE}">
    <vt:lpwstr>147222</vt:lpwstr>
  </property>
  <property pid="4" name="ChangedDate" fmtid="{D5CDD505-2E9C-101B-9397-08002B2CF9AE}">
    <vt:lpwstr>20210421010821</vt:lpwstr>
  </property>
</Properties>
</file>