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Infrastructure Western Australia Act 2019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Infrastructure WA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Infrastructure Western Australia Act 2019</w:t>
            </w:r>
          </w:p>
        </w:tc>
        <w:tc>
          <w:p>
            <w:pPr>
              <w:pStyle w:val="Table01Row"/>
            </w:pPr>
            <w:r>
              <w:t>2019/013</w:t>
            </w:r>
          </w:p>
        </w:tc>
        <w:tc>
          <w:p>
            <w:pPr>
              <w:pStyle w:val="Table01Row"/>
            </w:pPr>
            <w:r>
              <w:t>24 Jun 2019</w:t>
            </w:r>
          </w:p>
        </w:tc>
        <w:tc>
          <w:p>
            <w:pPr>
              <w:pStyle w:val="Table01Row"/>
            </w:pPr>
            <w:r>
              <w:rPr/>
              <w:t xml:space="preserve">Pt. 1: 24 Jun 2019 (see s. 2(a));</w:t>
            </w:r>
          </w:p>
          <w:p>
            <w:pPr>
              <w:pStyle w:val="Table01Row"/>
            </w:pPr>
            <w:r>
              <w:rPr/>
              <w:t xml:space="preserve">Act other than Pt. 1, s. 8(1)(b) &amp; Pt. 3 Div. 2 &amp; 3:  24 Jul 2019 (see s. 2(c));</w:t>
            </w:r>
          </w:p>
          <w:p>
            <w:pPr>
              <w:pStyle w:val="Table01Row"/>
            </w:pPr>
            <w:r>
              <w:rPr/>
              <w:t xml:space="preserve">s. 8(1)(b) &amp; Pt. 3 Div. 3: 1 Jan 2022 (see s. 2(b) &amp; SL 2021/145 cl. 2(a));</w:t>
            </w:r>
          </w:p>
          <w:p>
            <w:pPr>
              <w:pStyle w:val="Table01Row"/>
            </w:pPr>
            <w:r>
              <w:rPr/>
              <w:t xml:space="preserve">Pt. 3 Div 2: 1 Jan 2023 (see s. 2(b) &amp; SL 2021/145 cl.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Infrastructure Western Australia Act 2019</vt:lpwstr>
  </property>
  <property pid="3" name="IDAct" fmtid="{D5CDD505-2E9C-101B-9397-08002B2CF9AE}">
    <vt:lpwstr>147228</vt:lpwstr>
  </property>
  <property pid="4" name="ChangedDate" fmtid="{D5CDD505-2E9C-101B-9397-08002B2CF9AE}">
    <vt:lpwstr>20231005112653</vt:lpwstr>
  </property>
</Properties>
</file>