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High Risk Serious Offenders Act 2020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 (except Part 3, sections 30‑33 &amp; 51, Part 4 Division 6, section 67 &amp; Part 7, which are administered by the Minister for Corrective Services principally assisted by the Department of Justice)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Corrective Services (Part 3, sections 30‑33 &amp; 51, Part 4 Division 6, section 67 &amp; Part 7 only; remainder of Act administered by the Attorney General principally assisted by the Department of Justice)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</w:p>
        </w:tc>
        <w:tc>
          <w:p>
            <w:pPr>
              <w:pStyle w:val="Table01Row"/>
            </w:pPr>
            <w:r>
              <w:t>2020/029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Pt. 1: 9 Jul 2020 (see s. 2(1)(a));</w:t>
            </w:r>
          </w:p>
          <w:p>
            <w:pPr>
              <w:pStyle w:val="Table01Row"/>
            </w:pPr>
            <w:r>
              <w:rPr/>
              <w:t xml:space="preserve">s. 91: 10 Jul 2020 (see s. 2(1)(b));</w:t>
            </w:r>
          </w:p>
          <w:p>
            <w:pPr>
              <w:pStyle w:val="Table01Row"/>
            </w:pPr>
            <w:r>
              <w:rPr/>
              <w:t xml:space="preserve">Act other than Pt. 1, s. 91 &amp; Sch. 1 Div. 2 Subdiv. 1 it. 1: 26 Aug 2020 (see s. 2(1)(c) &amp; SL 2020/131 cl. 2);</w:t>
            </w:r>
          </w:p>
          <w:p>
            <w:pPr>
              <w:pStyle w:val="Table01Row"/>
            </w:pPr>
            <w:r>
              <w:rPr/>
              <w:t xml:space="preserve">Sch. 1 Div. 2 Subdiv. 1 it. 1: to be proclaimed (see s. 2(1)(c))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17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2023/031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21 Dec 2023 (see s. 2(c) and SL2023/202 cl. 2(a))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High Risk Serious Offenders Act 2020</vt:lpwstr>
  </property>
  <property pid="3" name="IDAct" fmtid="{D5CDD505-2E9C-101B-9397-08002B2CF9AE}">
    <vt:lpwstr>147273</vt:lpwstr>
  </property>
  <property pid="4" name="ChangedDate" fmtid="{D5CDD505-2E9C-101B-9397-08002B2CF9AE}">
    <vt:lpwstr>20230613134402</vt:lpwstr>
  </property>
</Properties>
</file>