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Work Health and Safety Act 2020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Pt. 1 (other than Div. 2‑5): 10 Nov 2020 (see s. 2(1)(a));</w:t>
            </w:r>
          </w:p>
          <w:p>
            <w:pPr>
              <w:pStyle w:val="Table01Row"/>
            </w:pPr>
            <w:r>
              <w:rPr/>
              <w:t xml:space="preserve">Pt. 14 (other than Div. 1‑3): 11 Nov 2020 (see s. 2((1)(b));</w:t>
            </w:r>
          </w:p>
          <w:p>
            <w:pPr>
              <w:pStyle w:val="Table01Row"/>
            </w:pPr>
            <w:r>
              <w:rPr/>
              <w:t xml:space="preserve">Act other than Pt. 1 Div. 1 &amp; Pt. 14 Div. 4: 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2021/030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Pt. 7 (other than Div. 1 Subdiv. 2): 20 Jun 2022 (see s. 2(1)(b) and (2) and SL 2022/79 cl. 2);</w:t>
            </w:r>
          </w:p>
          <w:p>
            <w:pPr>
              <w:pStyle w:val="Table01Row"/>
            </w:pPr>
            <w:r>
              <w:rPr/>
              <w:t xml:space="preserve">Pt. 7 Div. 1 Subdiv. 2 was deleted when s. 5(2) of that Act came into operation (see Pt. 7 Div.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Work Health and Safety Act 2020</vt:lpwstr>
  </property>
  <property pid="3" name="IDAct" fmtid="{D5CDD505-2E9C-101B-9397-08002B2CF9AE}">
    <vt:lpwstr>147282</vt:lpwstr>
  </property>
  <property pid="4" name="ChangedDate" fmtid="{D5CDD505-2E9C-101B-9397-08002B2CF9AE}">
    <vt:lpwstr>20231211153227</vt:lpwstr>
  </property>
</Properties>
</file>