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rPr>
          <w:color w:val="FF0000"/>
        </w:rPr>
        <w:t>Swan Valley Planning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Swan Valley Planning Act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2020/045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9 Dec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9 Dec 2020 (see s. 2(1)(a));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Pt. 1 &amp; s. 53‑55, 62 &amp; 103: 1 Aug 2021 (see s. 2(1)(d)(i) &amp; (e) and SL 2021/124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55 &amp; 103: 1 Aug 2023 (see s. 2(1)(c)(ii)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53, 54 &amp; 62: 1 Mar 2024 (see s. 2(1)(b)(ii) and SL 2024/16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</w:t>
              <w:t>Pt. 8 Div. 2</w:t>
            </w:r>
          </w:p>
        </w:tc>
        <w:tc>
          <w:p>
            <w:pPr>
              <w:pStyle w:val="Table01Row"/>
            </w:pPr>
            <w:r>
              <w:t>2023/034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2(e))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Swan Valley Planning Act 2020</vt:lpwstr>
  </property>
  <property pid="3" name="IDAct" fmtid="{D5CDD505-2E9C-101B-9397-08002B2CF9AE}">
    <vt:lpwstr>147291</vt:lpwstr>
  </property>
  <property pid="4" name="ChangedDate" fmtid="{D5CDD505-2E9C-101B-9397-08002B2CF9AE}">
    <vt:lpwstr>20240227003118</vt:lpwstr>
  </property>
</Properties>
</file>