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Protection of Information (Entry Registration Information Relating to COVID‑19 and Other Infectious Diseases) Act 2021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Protection of Information (Entry Registration Information Relating to COVID‑19 and Other Infectious Diseases) Act 2021</w:t>
            </w:r>
          </w:p>
        </w:tc>
        <w:tc>
          <w:p>
            <w:pPr>
              <w:pStyle w:val="Table01Row"/>
            </w:pPr>
            <w:r>
              <w:t>2021/003</w:t>
            </w:r>
          </w:p>
        </w:tc>
        <w:tc>
          <w:p>
            <w:pPr>
              <w:pStyle w:val="Table01Row"/>
            </w:pPr>
            <w:r>
              <w:t>21 Jun 2021</w:t>
            </w:r>
          </w:p>
        </w:tc>
        <w:tc>
          <w:p>
            <w:pPr>
              <w:pStyle w:val="Table01Row"/>
            </w:pPr>
            <w:r>
              <w:rPr/>
              <w:t xml:space="preserve">s. 1 &amp; 2: 21 Jun 2021 (see s. 2(a));</w:t>
            </w:r>
          </w:p>
          <w:p>
            <w:pPr>
              <w:pStyle w:val="Table01Row"/>
            </w:pPr>
            <w:r>
              <w:rPr/>
              <w:t xml:space="preserve">Act other than s. 1 &amp; 2: 22 Jun 2021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</w:t>
              <w:t>Pt. 2 Div. 2 Subdiv. 4</w:t>
            </w:r>
          </w:p>
        </w:tc>
        <w:tc>
          <w:p>
            <w:pPr>
              <w:pStyle w:val="Table01Row"/>
            </w:pPr>
            <w:r>
              <w:t>2022/033</w:t>
            </w:r>
          </w:p>
        </w:tc>
        <w:tc>
          <w:p>
            <w:pPr>
              <w:pStyle w:val="Table01Row"/>
            </w:pPr>
            <w:r>
              <w:t>21 Oct 2022</w:t>
            </w:r>
          </w:p>
        </w:tc>
        <w:tc>
          <w:p>
            <w:pPr>
              <w:pStyle w:val="Table01Row"/>
            </w:pPr>
            <w:r>
              <w:rPr/>
              <w:t xml:space="preserve">3 Nov 2022 (see s. 2(b) and SL 2022/175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50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Protection of Information (Entry Registration Information Relating to COVID-19 and Other Infectious Diseases) Act 2021</vt:lpwstr>
  </property>
  <property pid="3" name="IDAct" fmtid="{D5CDD505-2E9C-101B-9397-08002B2CF9AE}">
    <vt:lpwstr>147299</vt:lpwstr>
  </property>
  <property pid="4" name="ChangedDate" fmtid="{D5CDD505-2E9C-101B-9397-08002B2CF9AE}">
    <vt:lpwstr>20240108103041</vt:lpwstr>
  </property>
</Properties>
</file>